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DC" w:rsidRDefault="009D7008">
      <w:pPr>
        <w:spacing w:after="0" w:line="243" w:lineRule="auto"/>
        <w:ind w:left="0" w:right="4764" w:firstLine="0"/>
      </w:pPr>
      <w:r>
        <w:rPr>
          <w:b/>
          <w:sz w:val="18"/>
        </w:rPr>
        <w:t xml:space="preserve">(SCH01)   –   [PA]    Themen Texte  /  </w:t>
      </w:r>
      <w:r>
        <w:rPr>
          <w:b/>
          <w:bCs/>
          <w:sz w:val="22"/>
          <w:rtl/>
        </w:rPr>
        <w:t>موضوعات متنونه</w:t>
      </w:r>
      <w:r>
        <w:rPr>
          <w:b/>
          <w:sz w:val="22"/>
        </w:rPr>
        <w:t xml:space="preserve"> </w:t>
      </w:r>
      <w:r>
        <w:t xml:space="preserve">  </w:t>
      </w:r>
    </w:p>
    <w:p w:rsidR="00773ADC" w:rsidRDefault="009D7008">
      <w:pPr>
        <w:spacing w:after="25" w:line="259" w:lineRule="auto"/>
        <w:ind w:left="0" w:right="0" w:firstLine="0"/>
      </w:pPr>
      <w:r>
        <w:t xml:space="preserve"> </w:t>
      </w:r>
    </w:p>
    <w:p w:rsidR="00773ADC" w:rsidRDefault="009D7008">
      <w:pPr>
        <w:pStyle w:val="berschrift1"/>
        <w:tabs>
          <w:tab w:val="right" w:pos="9252"/>
        </w:tabs>
        <w:ind w:left="0"/>
      </w:pPr>
      <w:r>
        <w:t>Tag der Schachtelsätze  – 25. Februar</w:t>
      </w:r>
      <w:r>
        <w:rPr>
          <w:rFonts w:ascii="Arial Unicode MS" w:eastAsia="Arial Unicode MS" w:hAnsi="Arial Unicode MS" w:cs="Arial Unicode MS"/>
          <w:b w:val="0"/>
        </w:rPr>
        <w:t xml:space="preserve"> </w:t>
      </w:r>
      <w:r>
        <w:rPr>
          <w:rFonts w:ascii="Arial Unicode MS" w:eastAsia="Arial Unicode MS" w:hAnsi="Arial Unicode MS" w:cs="Arial Unicode MS"/>
          <w:b w:val="0"/>
        </w:rPr>
        <w:tab/>
      </w:r>
      <w:r>
        <w:rPr>
          <w:bCs/>
          <w:sz w:val="28"/>
          <w:szCs w:val="28"/>
          <w:rtl/>
        </w:rPr>
        <w:t>د پېچلو جملو ورځ – ۲۵ فبروري</w:t>
      </w:r>
      <w:r>
        <w:rPr>
          <w:rFonts w:ascii="Arial Unicode MS" w:eastAsia="Arial Unicode MS" w:hAnsi="Arial Unicode MS" w:cs="Arial Unicode MS"/>
          <w:b w:val="0"/>
        </w:rPr>
        <w:t xml:space="preserve"> </w:t>
      </w:r>
    </w:p>
    <w:p w:rsidR="00773ADC" w:rsidRDefault="009D7008">
      <w:pPr>
        <w:spacing w:after="8" w:line="259" w:lineRule="auto"/>
        <w:ind w:left="-22" w:right="-105" w:firstLine="0"/>
      </w:pPr>
      <w:r>
        <w:rPr>
          <w:rFonts w:ascii="Calibri" w:eastAsia="Calibri" w:hAnsi="Calibri" w:cs="Calibri"/>
          <w:noProof/>
          <w:sz w:val="22"/>
        </w:rPr>
        <mc:AlternateContent>
          <mc:Choice Requires="wpg">
            <w:drawing>
              <wp:inline distT="0" distB="0" distL="0" distR="0">
                <wp:extent cx="5955487" cy="12192"/>
                <wp:effectExtent l="0" t="0" r="0" b="0"/>
                <wp:docPr id="12046" name="Group 12046"/>
                <wp:cNvGraphicFramePr/>
                <a:graphic xmlns:a="http://schemas.openxmlformats.org/drawingml/2006/main">
                  <a:graphicData uri="http://schemas.microsoft.com/office/word/2010/wordprocessingGroup">
                    <wpg:wgp>
                      <wpg:cNvGrpSpPr/>
                      <wpg:grpSpPr>
                        <a:xfrm>
                          <a:off x="0" y="0"/>
                          <a:ext cx="5955487" cy="12192"/>
                          <a:chOff x="0" y="0"/>
                          <a:chExt cx="5955487" cy="12192"/>
                        </a:xfrm>
                      </wpg:grpSpPr>
                      <wps:wsp>
                        <wps:cNvPr id="13115" name="Shape 13115"/>
                        <wps:cNvSpPr/>
                        <wps:spPr>
                          <a:xfrm>
                            <a:off x="0" y="0"/>
                            <a:ext cx="2984627" cy="12192"/>
                          </a:xfrm>
                          <a:custGeom>
                            <a:avLst/>
                            <a:gdLst/>
                            <a:ahLst/>
                            <a:cxnLst/>
                            <a:rect l="0" t="0" r="0" b="0"/>
                            <a:pathLst>
                              <a:path w="2984627" h="12192">
                                <a:moveTo>
                                  <a:pt x="0" y="0"/>
                                </a:moveTo>
                                <a:lnTo>
                                  <a:pt x="2984627" y="0"/>
                                </a:lnTo>
                                <a:lnTo>
                                  <a:pt x="298462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16" name="Shape 13116"/>
                        <wps:cNvSpPr/>
                        <wps:spPr>
                          <a:xfrm>
                            <a:off x="29754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17" name="Shape 13117"/>
                        <wps:cNvSpPr/>
                        <wps:spPr>
                          <a:xfrm>
                            <a:off x="2987624" y="0"/>
                            <a:ext cx="2967863" cy="12192"/>
                          </a:xfrm>
                          <a:custGeom>
                            <a:avLst/>
                            <a:gdLst/>
                            <a:ahLst/>
                            <a:cxnLst/>
                            <a:rect l="0" t="0" r="0" b="0"/>
                            <a:pathLst>
                              <a:path w="2967863" h="12192">
                                <a:moveTo>
                                  <a:pt x="0" y="0"/>
                                </a:moveTo>
                                <a:lnTo>
                                  <a:pt x="2967863" y="0"/>
                                </a:lnTo>
                                <a:lnTo>
                                  <a:pt x="296786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202085" id="Group 12046" o:spid="_x0000_s1026" style="width:468.95pt;height:.95pt;mso-position-horizontal-relative:char;mso-position-vertical-relative:line" coordsize="595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">
                <v:shape id="Shape 13115" o:spid="_x0000_s1027" style="position:absolute;width:29846;height:121;visibility:visible;mso-wrap-style:square;v-text-anchor:top" coordsize="298462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J3MIA&#10;AADeAAAADwAAAGRycy9kb3ducmV2LnhtbERPTWvCQBC9F/oflin0VidRLBJdRVqEnloa9T5kxySY&#10;nQ27a4z99V2h0Ns83uesNqPt1MA+tE405JMMFEvlTCu1hsN+97IAFSKJoc4Ja7hxgM368WFFhXFX&#10;+eahjLVKIRIK0tDE2BeIoWrYUpi4niVxJ+ctxQR9jcbTNYXbDqdZ9oqWWkkNDfX81nB1Li9Ww3T2&#10;jsOX41vlP+u9//FDeUTU+vlp3C5BRR7jv/jP/WHS/Fmez+H+TroB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8ncwgAAAN4AAAAPAAAAAAAAAAAAAAAAAJgCAABkcnMvZG93&#10;bnJldi54bWxQSwUGAAAAAAQABAD1AAAAhwMAAAAA&#10;" path="m,l2984627,r,12192l,12192,,e" fillcolor="black" stroked="f" strokeweight="0">
                  <v:stroke miterlimit="83231f" joinstyle="miter"/>
                  <v:path arrowok="t" textboxrect="0,0,2984627,12192"/>
                </v:shape>
                <v:shape id="Shape 13116" o:spid="_x0000_s1028" style="position:absolute;left:2975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wGcEA&#10;AADeAAAADwAAAGRycy9kb3ducmV2LnhtbERPTWvCQBC9C/0Pywi96SaWakldRQTBo6aK1yE7JsHs&#10;7JKdavrvu0Kht3m8z1muB9epO/Wx9Wwgn2agiCtvW64NnL52kw9QUZAtdp7JwA9FWK9eRkssrH/w&#10;ke6l1CqFcCzQQCMSCq1j1ZDDOPWBOHFX3zuUBPta2x4fKdx1epZlc+2w5dTQYKBtQ9Wt/HYGjpdz&#10;JdchbBeHfMNnmYWLlO/GvI6HzScooUH+xX/uvU3z3/J8Ds930g1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F8BnBAAAA3gAAAA8AAAAAAAAAAAAAAAAAmAIAAGRycy9kb3du&#10;cmV2LnhtbFBLBQYAAAAABAAEAPUAAACGAwAAAAA=&#10;" path="m,l12192,r,12192l,12192,,e" fillcolor="black" stroked="f" strokeweight="0">
                  <v:stroke miterlimit="83231f" joinstyle="miter"/>
                  <v:path arrowok="t" textboxrect="0,0,12192,12192"/>
                </v:shape>
                <v:shape id="Shape 13117" o:spid="_x0000_s1029" style="position:absolute;left:29876;width:29678;height:121;visibility:visible;mso-wrap-style:square;v-text-anchor:top" coordsize="296786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gScQA&#10;AADeAAAADwAAAGRycy9kb3ducmV2LnhtbESPQWsCMRCF7wX/Q5iCt5pdBStbo4gieGy37X3YjMm2&#10;m8maRN3++0YQvM3w3rz3zXI9uE5cKMTWs4JyUoAgbrxu2Sj4+ty/LEDEhKyx80wK/ijCejV6WmKl&#10;/ZU/6FInI3IIxwoV2JT6SsrYWHIYJ74nztrRB4cpr8FIHfCaw10np0Uxlw5bzg0We9paan7rs1Ow&#10;3/WLs0ubn+/6ZM0xBNO+Zx41fh42byASDelhvl8fdMafleUr3N7JM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vYEnEAAAA3gAAAA8AAAAAAAAAAAAAAAAAmAIAAGRycy9k&#10;b3ducmV2LnhtbFBLBQYAAAAABAAEAPUAAACJAwAAAAA=&#10;" path="m,l2967863,r,12192l,12192,,e" fillcolor="black" stroked="f" strokeweight="0">
                  <v:stroke miterlimit="83231f" joinstyle="miter"/>
                  <v:path arrowok="t" textboxrect="0,0,2967863,12192"/>
                </v:shape>
                <w10:anchorlock/>
              </v:group>
            </w:pict>
          </mc:Fallback>
        </mc:AlternateContent>
      </w:r>
    </w:p>
    <w:p w:rsidR="00773ADC" w:rsidRDefault="009D7008">
      <w:pPr>
        <w:spacing w:after="0" w:line="259" w:lineRule="auto"/>
        <w:ind w:left="0" w:right="0" w:firstLine="0"/>
      </w:pPr>
      <w:r>
        <w:rPr>
          <w:sz w:val="20"/>
        </w:rPr>
        <w:t xml:space="preserve"> </w:t>
      </w:r>
      <w:r>
        <w:rPr>
          <w:rFonts w:ascii="Arial Unicode MS" w:eastAsia="Arial Unicode MS" w:hAnsi="Arial Unicode MS" w:cs="Arial Unicode MS"/>
        </w:rPr>
        <w:t xml:space="preserve"> </w:t>
      </w:r>
    </w:p>
    <w:tbl>
      <w:tblPr>
        <w:tblStyle w:val="TableGrid"/>
        <w:tblW w:w="9372" w:type="dxa"/>
        <w:tblInd w:w="-14" w:type="dxa"/>
        <w:tblCellMar>
          <w:top w:w="53" w:type="dxa"/>
          <w:left w:w="84" w:type="dxa"/>
          <w:right w:w="73" w:type="dxa"/>
        </w:tblCellMar>
        <w:tblLook w:val="04A0" w:firstRow="1" w:lastRow="0" w:firstColumn="1" w:lastColumn="0" w:noHBand="0" w:noVBand="1"/>
      </w:tblPr>
      <w:tblGrid>
        <w:gridCol w:w="4693"/>
        <w:gridCol w:w="4679"/>
      </w:tblGrid>
      <w:tr w:rsidR="00773ADC">
        <w:trPr>
          <w:trHeight w:val="1308"/>
        </w:trPr>
        <w:tc>
          <w:tcPr>
            <w:tcW w:w="4693" w:type="dxa"/>
            <w:tcBorders>
              <w:top w:val="nil"/>
              <w:left w:val="nil"/>
              <w:bottom w:val="single" w:sz="8" w:space="0" w:color="000000"/>
              <w:right w:val="single" w:sz="8" w:space="0" w:color="000000"/>
            </w:tcBorders>
          </w:tcPr>
          <w:p w:rsidR="00773ADC" w:rsidRDefault="009D7008">
            <w:pPr>
              <w:spacing w:after="0" w:line="259" w:lineRule="auto"/>
              <w:ind w:left="74" w:right="0" w:firstLine="0"/>
            </w:pPr>
            <w:r>
              <w:rPr>
                <w:sz w:val="20"/>
              </w:rPr>
              <w:t xml:space="preserve">Schachtelsätze – Sätze wie </w:t>
            </w:r>
            <w:proofErr w:type="spellStart"/>
            <w:r>
              <w:rPr>
                <w:sz w:val="20"/>
              </w:rPr>
              <w:t>Matrjoschki</w:t>
            </w:r>
            <w:proofErr w:type="spellEnd"/>
            <w:r>
              <w:rPr>
                <w:sz w:val="20"/>
              </w:rPr>
              <w:t xml:space="preserve"> </w:t>
            </w:r>
          </w:p>
          <w:p w:rsidR="00773ADC" w:rsidRDefault="009D7008">
            <w:pPr>
              <w:spacing w:after="24" w:line="259" w:lineRule="auto"/>
              <w:ind w:left="358" w:right="0" w:firstLine="0"/>
            </w:pPr>
            <w:r>
              <w:rPr>
                <w:sz w:val="20"/>
              </w:rPr>
              <w:t xml:space="preserve"> </w:t>
            </w:r>
          </w:p>
          <w:p w:rsidR="00773ADC" w:rsidRDefault="009D7008">
            <w:pPr>
              <w:spacing w:after="0" w:line="259" w:lineRule="auto"/>
              <w:ind w:left="357" w:right="862" w:hanging="283"/>
            </w:pPr>
            <w:r>
              <w:rPr>
                <w:sz w:val="20"/>
              </w:rPr>
              <w:t xml:space="preserve">Lange Sätze sind schwer zu lesen,  aber bisweilen klingen sie wie Musik. </w:t>
            </w:r>
          </w:p>
        </w:tc>
        <w:tc>
          <w:tcPr>
            <w:tcW w:w="4679" w:type="dxa"/>
            <w:tcBorders>
              <w:top w:val="nil"/>
              <w:left w:val="single" w:sz="8" w:space="0" w:color="000000"/>
              <w:bottom w:val="single" w:sz="8" w:space="0" w:color="000000"/>
              <w:right w:val="nil"/>
            </w:tcBorders>
          </w:tcPr>
          <w:p w:rsidR="00773ADC" w:rsidRDefault="009D7008">
            <w:pPr>
              <w:bidi/>
              <w:spacing w:after="46" w:line="272" w:lineRule="auto"/>
              <w:ind w:left="0" w:right="144" w:firstLine="66"/>
              <w:jc w:val="both"/>
            </w:pPr>
            <w:r>
              <w:rPr>
                <w:szCs w:val="24"/>
                <w:rtl/>
              </w:rPr>
              <w:t>په یوه بل کې نغښتې جملې – د روسیې د لالچینو په څېر  جملې</w:t>
            </w:r>
          </w:p>
          <w:p w:rsidR="00773ADC" w:rsidRDefault="009D7008">
            <w:pPr>
              <w:bidi/>
              <w:spacing w:after="17" w:line="259" w:lineRule="auto"/>
              <w:ind w:left="0" w:right="0" w:firstLine="0"/>
            </w:pPr>
            <w:r>
              <w:rPr>
                <w:szCs w:val="24"/>
                <w:rtl/>
              </w:rPr>
              <w:t xml:space="preserve"> اوږدې جملې لوستل سخت دي،</w:t>
            </w:r>
          </w:p>
          <w:p w:rsidR="00773ADC" w:rsidRDefault="009D7008">
            <w:pPr>
              <w:bidi/>
              <w:spacing w:after="0" w:line="259" w:lineRule="auto"/>
              <w:ind w:left="11" w:right="0" w:firstLine="0"/>
            </w:pPr>
            <w:r>
              <w:rPr>
                <w:sz w:val="20"/>
                <w:szCs w:val="20"/>
                <w:rtl/>
              </w:rPr>
              <w:t xml:space="preserve"> </w:t>
            </w:r>
            <w:r>
              <w:rPr>
                <w:szCs w:val="24"/>
                <w:rtl/>
              </w:rPr>
              <w:t>.خو کله کله د موسیقۍ په څېر غږیږي</w:t>
            </w:r>
          </w:p>
        </w:tc>
      </w:tr>
      <w:tr w:rsidR="00773ADC">
        <w:trPr>
          <w:trHeight w:val="7475"/>
        </w:trPr>
        <w:tc>
          <w:tcPr>
            <w:tcW w:w="4693" w:type="dxa"/>
            <w:tcBorders>
              <w:top w:val="single" w:sz="8" w:space="0" w:color="000000"/>
              <w:left w:val="nil"/>
              <w:bottom w:val="single" w:sz="8" w:space="0" w:color="000000"/>
              <w:right w:val="single" w:sz="8" w:space="0" w:color="000000"/>
            </w:tcBorders>
          </w:tcPr>
          <w:p w:rsidR="00773ADC" w:rsidRDefault="009D7008">
            <w:pPr>
              <w:spacing w:after="0" w:line="259" w:lineRule="auto"/>
              <w:ind w:left="74" w:right="0" w:firstLine="0"/>
            </w:pPr>
            <w:r>
              <w:rPr>
                <w:sz w:val="20"/>
              </w:rPr>
              <w:t xml:space="preserve">Der Schachtelsatz, der am 25. Februar auf </w:t>
            </w:r>
          </w:p>
          <w:p w:rsidR="00773ADC" w:rsidRDefault="009D7008">
            <w:pPr>
              <w:spacing w:after="0" w:line="241" w:lineRule="auto"/>
              <w:ind w:left="74" w:right="41" w:firstLine="0"/>
            </w:pPr>
            <w:r>
              <w:rPr>
                <w:sz w:val="20"/>
              </w:rPr>
              <w:t xml:space="preserve">Anregung des deutschen Cartoonisten und Bloggers </w:t>
            </w:r>
            <w:hyperlink r:id="rId6">
              <w:r>
                <w:rPr>
                  <w:b/>
                  <w:color w:val="0563C1"/>
                  <w:sz w:val="20"/>
                  <w:u w:val="single" w:color="0563C1"/>
                </w:rPr>
                <w:t xml:space="preserve">Bastian </w:t>
              </w:r>
              <w:proofErr w:type="spellStart"/>
              <w:r>
                <w:rPr>
                  <w:b/>
                  <w:color w:val="0563C1"/>
                  <w:sz w:val="20"/>
                  <w:u w:val="single" w:color="0563C1"/>
                </w:rPr>
                <w:t>Melnyk</w:t>
              </w:r>
              <w:proofErr w:type="spellEnd"/>
            </w:hyperlink>
            <w:hyperlink r:id="rId7">
              <w:r>
                <w:rPr>
                  <w:sz w:val="20"/>
                </w:rPr>
                <w:t xml:space="preserve"> </w:t>
              </w:r>
            </w:hyperlink>
            <w:r>
              <w:rPr>
                <w:sz w:val="20"/>
              </w:rPr>
              <w:t xml:space="preserve">gefeiert wird, mit einem anderen deutschen Ausdruck Bandwurmsatz genannt, der Schachtelsatz nämlich, nicht der Cartoonist und Blogger Bastian </w:t>
            </w:r>
            <w:proofErr w:type="spellStart"/>
            <w:r>
              <w:rPr>
                <w:sz w:val="20"/>
              </w:rPr>
              <w:t>Melnyk</w:t>
            </w:r>
            <w:proofErr w:type="spellEnd"/>
            <w:r>
              <w:rPr>
                <w:sz w:val="20"/>
              </w:rPr>
              <w:t xml:space="preserve">, und der, gemeint ist abermals der Satz, auf Griechisch Hypotaxe heißt, stellt gewissermaßen ein Äquivalent zu den </w:t>
            </w:r>
          </w:p>
          <w:p w:rsidR="00773ADC" w:rsidRDefault="009D7008">
            <w:pPr>
              <w:spacing w:after="0" w:line="241" w:lineRule="auto"/>
              <w:ind w:left="74" w:right="45" w:firstLine="0"/>
            </w:pPr>
            <w:proofErr w:type="spellStart"/>
            <w:r>
              <w:rPr>
                <w:sz w:val="20"/>
              </w:rPr>
              <w:t>Matrjoschki</w:t>
            </w:r>
            <w:proofErr w:type="spellEnd"/>
            <w:r>
              <w:rPr>
                <w:sz w:val="20"/>
              </w:rPr>
              <w:t xml:space="preserve"> dar, diesen russischen Holzfiguren, die Sergei Wassiljewitsch </w:t>
            </w:r>
            <w:proofErr w:type="spellStart"/>
            <w:r>
              <w:rPr>
                <w:sz w:val="20"/>
              </w:rPr>
              <w:t>Maljutin</w:t>
            </w:r>
            <w:proofErr w:type="spellEnd"/>
            <w:r>
              <w:rPr>
                <w:sz w:val="20"/>
              </w:rPr>
              <w:t xml:space="preserve">,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w:t>
            </w:r>
          </w:p>
          <w:p w:rsidR="00773ADC" w:rsidRDefault="009D7008">
            <w:pPr>
              <w:spacing w:after="0" w:line="259" w:lineRule="auto"/>
              <w:ind w:left="74" w:right="65" w:firstLine="0"/>
            </w:pPr>
            <w:r>
              <w:rPr>
                <w:sz w:val="20"/>
              </w:rPr>
              <w:t xml:space="preserve">Umständen so kompliziert sein, dass man auch in der eigenen Muttersprache die Grammatik zu Hilfe nehmen muss, um durch die Reihen von Wörtern und Sätzen durchzufinden. </w:t>
            </w:r>
          </w:p>
        </w:tc>
        <w:tc>
          <w:tcPr>
            <w:tcW w:w="4679" w:type="dxa"/>
            <w:tcBorders>
              <w:top w:val="single" w:sz="8" w:space="0" w:color="000000"/>
              <w:left w:val="single" w:sz="8" w:space="0" w:color="000000"/>
              <w:bottom w:val="single" w:sz="8" w:space="0" w:color="000000"/>
              <w:right w:val="nil"/>
            </w:tcBorders>
          </w:tcPr>
          <w:p w:rsidR="00773ADC" w:rsidRDefault="009D7008">
            <w:pPr>
              <w:bidi/>
              <w:spacing w:after="1" w:line="239" w:lineRule="auto"/>
              <w:ind w:left="0" w:right="216" w:firstLine="1"/>
              <w:jc w:val="right"/>
            </w:pPr>
            <w:r>
              <w:rPr>
                <w:szCs w:val="24"/>
                <w:rtl/>
              </w:rPr>
              <w:t xml:space="preserve">ځنځیري جمله، چې د الماني کارټونیسټ او بلاګ لیکونکي باسټین میلنیک په وړاندیز د فبرورۍ په ۲۵مه نمانځل کیږي، د یوې بلې الماني اصطلاح له مخې د </w:t>
            </w:r>
          </w:p>
          <w:p w:rsidR="00773ADC" w:rsidRDefault="009D7008">
            <w:pPr>
              <w:bidi/>
              <w:spacing w:after="40" w:line="240" w:lineRule="auto"/>
              <w:ind w:left="0" w:right="67" w:firstLine="3"/>
              <w:jc w:val="right"/>
            </w:pPr>
            <w:r>
              <w:rPr>
                <w:szCs w:val="24"/>
                <w:rtl/>
              </w:rPr>
              <w:t xml:space="preserve">"ټیپ ورم جملې" په نوم هم یادیږي ،یعنې ځنځیري جمله ،نه کارټونیسټ او بلاګ لیکونکی باسټین میلنیک، او کومې ته چې بیا د جملې په حواله په یوناني کې هایپوټاکسیس ویل کیږي، په یو ډول د مټریوشکا لوبو سره معادل دي، هغه روسي لرګینې ګوټۍ چې سرګي واسیلویچ مالیوتین ،یو روسي نقاش او معمار، په ۱۸۹۰ کال کې د یو جاپاني ماډل پر بنسټ جوړې شوې، هغه نانځکې چې یو په بل کې ځایېږي او د هغو سیلانیانو ترمنځ ډېرې مشهورې دي چې نه پوهېږي له روسیې څخه نور څه له ځان سره راوړي چې د غلې څخه جوړ شوي بې بویه شراب )ودکا( له بوتل څخه ډېر دوام وکړي، چې، ژباړل شوې، "اوبه"، چې په الوتکه کې وڅښل شي، که چېرې د هوا له امله ټکانونه وي ،یا بیا په هوایي ډګر کې وڅښل شي که سامانونه ورک شي، لکه څنګه چې کله ناکله وروسته له هغې پېښیږي چې مسؤل کارکوونکي بې پروا وي یا یې نښې غلطې لوستلې وي ،دومره پېچلې وي چې تاسو باید د کلمو او جملو له قطارونو څخه د لارې موندلو لپاره د خپلې مورنۍ ژبې </w:t>
            </w:r>
          </w:p>
          <w:p w:rsidR="00773ADC" w:rsidRDefault="009D7008">
            <w:pPr>
              <w:bidi/>
              <w:spacing w:after="19" w:line="259" w:lineRule="auto"/>
              <w:ind w:left="0" w:right="0" w:firstLine="0"/>
            </w:pPr>
            <w:r>
              <w:rPr>
                <w:szCs w:val="24"/>
                <w:rtl/>
              </w:rPr>
              <w:t xml:space="preserve"> .ګرامر ته مراجعه وکړئ</w:t>
            </w:r>
          </w:p>
          <w:p w:rsidR="00773ADC" w:rsidRDefault="009D7008">
            <w:pPr>
              <w:spacing w:after="21" w:line="259" w:lineRule="auto"/>
              <w:ind w:left="0" w:right="0" w:firstLine="0"/>
              <w:jc w:val="right"/>
            </w:pPr>
            <w:r>
              <w:t xml:space="preserve"> </w:t>
            </w:r>
          </w:p>
          <w:p w:rsidR="00773ADC" w:rsidRDefault="009D7008">
            <w:pPr>
              <w:bidi/>
              <w:spacing w:after="0" w:line="259" w:lineRule="auto"/>
              <w:ind w:left="11" w:right="0" w:firstLine="0"/>
            </w:pPr>
            <w:r>
              <w:rPr>
                <w:sz w:val="20"/>
                <w:szCs w:val="20"/>
                <w:rtl/>
              </w:rPr>
              <w:t xml:space="preserve"> </w:t>
            </w:r>
            <w:r>
              <w:rPr>
                <w:sz w:val="22"/>
                <w:rtl/>
              </w:rPr>
              <w:t>د ډیپ ایل.کام )وړیا نسخه( په واسطه ژباړل شوی</w:t>
            </w:r>
          </w:p>
        </w:tc>
      </w:tr>
      <w:tr w:rsidR="00773ADC">
        <w:trPr>
          <w:trHeight w:val="766"/>
        </w:trPr>
        <w:tc>
          <w:tcPr>
            <w:tcW w:w="4693" w:type="dxa"/>
            <w:tcBorders>
              <w:top w:val="single" w:sz="8" w:space="0" w:color="000000"/>
              <w:left w:val="nil"/>
              <w:bottom w:val="single" w:sz="8" w:space="0" w:color="000000"/>
              <w:right w:val="single" w:sz="8" w:space="0" w:color="000000"/>
            </w:tcBorders>
          </w:tcPr>
          <w:p w:rsidR="00773ADC" w:rsidRDefault="009D7008">
            <w:pPr>
              <w:spacing w:after="0" w:line="259" w:lineRule="auto"/>
              <w:ind w:left="74" w:right="0" w:firstLine="0"/>
            </w:pPr>
            <w:r>
              <w:rPr>
                <w:sz w:val="20"/>
              </w:rPr>
              <w:t xml:space="preserve">Und dazu eine kleine Hilfe ... </w:t>
            </w:r>
          </w:p>
          <w:p w:rsidR="00773ADC" w:rsidRDefault="00554A5E">
            <w:pPr>
              <w:spacing w:after="0" w:line="259" w:lineRule="auto"/>
              <w:ind w:left="74" w:right="0" w:firstLine="0"/>
            </w:pPr>
            <w:hyperlink r:id="rId8" w:tgtFrame="_blank" w:history="1">
              <w:r w:rsidR="009D7008" w:rsidRPr="00554A5E">
                <w:rPr>
                  <w:rStyle w:val="Hyperlink"/>
                  <w:sz w:val="20"/>
                  <w:u w:color="0563C1"/>
                </w:rPr>
                <w:t>Strukturierte Darstellung des deutschen Texts</w:t>
              </w:r>
            </w:hyperlink>
            <w:bookmarkStart w:id="0" w:name="_GoBack"/>
            <w:bookmarkEnd w:id="0"/>
            <w:r w:rsidR="009D7008">
              <w:rPr>
                <w:sz w:val="20"/>
              </w:rPr>
              <w:t xml:space="preserve"> </w:t>
            </w:r>
          </w:p>
        </w:tc>
        <w:tc>
          <w:tcPr>
            <w:tcW w:w="4679" w:type="dxa"/>
            <w:tcBorders>
              <w:top w:val="single" w:sz="8" w:space="0" w:color="000000"/>
              <w:left w:val="single" w:sz="8" w:space="0" w:color="000000"/>
              <w:bottom w:val="single" w:sz="8" w:space="0" w:color="000000"/>
              <w:right w:val="nil"/>
            </w:tcBorders>
          </w:tcPr>
          <w:p w:rsidR="00773ADC" w:rsidRDefault="009D7008">
            <w:pPr>
              <w:bidi/>
              <w:spacing w:after="0" w:line="259" w:lineRule="auto"/>
              <w:ind w:left="0" w:right="1911" w:firstLine="0"/>
              <w:jc w:val="right"/>
            </w:pPr>
            <w:r>
              <w:rPr>
                <w:szCs w:val="24"/>
                <w:rtl/>
              </w:rPr>
              <w:t xml:space="preserve"> ...او دلته لږه مرسته د الماني متن منظمه وړاندې کړنه</w:t>
            </w:r>
          </w:p>
        </w:tc>
      </w:tr>
      <w:tr w:rsidR="00773ADC">
        <w:trPr>
          <w:trHeight w:val="727"/>
        </w:trPr>
        <w:tc>
          <w:tcPr>
            <w:tcW w:w="4693" w:type="dxa"/>
            <w:tcBorders>
              <w:top w:val="single" w:sz="8" w:space="0" w:color="000000"/>
              <w:left w:val="nil"/>
              <w:bottom w:val="single" w:sz="8" w:space="0" w:color="000000"/>
              <w:right w:val="single" w:sz="8" w:space="0" w:color="000000"/>
            </w:tcBorders>
          </w:tcPr>
          <w:p w:rsidR="00773ADC" w:rsidRDefault="009D7008">
            <w:pPr>
              <w:spacing w:after="0" w:line="259" w:lineRule="auto"/>
              <w:ind w:left="74" w:right="504" w:firstLine="0"/>
              <w:jc w:val="both"/>
            </w:pPr>
            <w:r>
              <w:rPr>
                <w:b/>
              </w:rPr>
              <w:t>Hausübung für Dich</w:t>
            </w:r>
            <w:r>
              <w:rPr>
                <w:sz w:val="20"/>
              </w:rPr>
              <w:t xml:space="preserve">:   Überprüfe  die Qualität der Übersetzung von </w:t>
            </w:r>
            <w:hyperlink r:id="rId9">
              <w:r>
                <w:rPr>
                  <w:color w:val="0563C1"/>
                  <w:sz w:val="20"/>
                  <w:u w:val="single" w:color="0563C1"/>
                </w:rPr>
                <w:t>deepl.com</w:t>
              </w:r>
            </w:hyperlink>
            <w:hyperlink r:id="rId10">
              <w:r>
                <w:rPr>
                  <w:sz w:val="20"/>
                </w:rPr>
                <w:t>!</w:t>
              </w:r>
            </w:hyperlink>
            <w:r>
              <w:rPr>
                <w:sz w:val="20"/>
              </w:rPr>
              <w:t xml:space="preserve"> </w:t>
            </w:r>
          </w:p>
        </w:tc>
        <w:tc>
          <w:tcPr>
            <w:tcW w:w="4679" w:type="dxa"/>
            <w:tcBorders>
              <w:top w:val="single" w:sz="8" w:space="0" w:color="000000"/>
              <w:left w:val="single" w:sz="8" w:space="0" w:color="000000"/>
              <w:bottom w:val="single" w:sz="8" w:space="0" w:color="000000"/>
              <w:right w:val="nil"/>
            </w:tcBorders>
          </w:tcPr>
          <w:p w:rsidR="00773ADC" w:rsidRDefault="009D7008">
            <w:pPr>
              <w:bidi/>
              <w:spacing w:after="17" w:line="259" w:lineRule="auto"/>
              <w:ind w:left="0" w:right="75" w:firstLine="0"/>
              <w:jc w:val="center"/>
            </w:pPr>
            <w:r>
              <w:rPr>
                <w:szCs w:val="24"/>
                <w:rtl/>
              </w:rPr>
              <w:t xml:space="preserve">څخه د ژباړې  </w:t>
            </w:r>
            <w:r>
              <w:rPr>
                <w:sz w:val="22"/>
              </w:rPr>
              <w:t>deepl.com</w:t>
            </w:r>
            <w:r>
              <w:rPr>
                <w:szCs w:val="24"/>
                <w:rtl/>
              </w:rPr>
              <w:t xml:space="preserve"> ستاسو لپاره کورنۍ دنده: د</w:t>
            </w:r>
          </w:p>
          <w:p w:rsidR="00773ADC" w:rsidRDefault="009D7008">
            <w:pPr>
              <w:bidi/>
              <w:spacing w:after="0" w:line="259" w:lineRule="auto"/>
              <w:ind w:left="0" w:right="0" w:firstLine="0"/>
            </w:pPr>
            <w:r>
              <w:rPr>
                <w:szCs w:val="24"/>
                <w:rtl/>
              </w:rPr>
              <w:t xml:space="preserve"> !کیفیت وګورئ</w:t>
            </w:r>
          </w:p>
        </w:tc>
      </w:tr>
    </w:tbl>
    <w:p w:rsidR="00773ADC" w:rsidRDefault="009D7008">
      <w:pPr>
        <w:spacing w:after="0" w:line="259" w:lineRule="auto"/>
        <w:ind w:left="0" w:right="0" w:firstLine="0"/>
      </w:pPr>
      <w:r>
        <w:rPr>
          <w:rFonts w:ascii="Arial Unicode MS" w:eastAsia="Arial Unicode MS" w:hAnsi="Arial Unicode MS" w:cs="Arial Unicode MS"/>
        </w:rPr>
        <w:t xml:space="preserve"> </w:t>
      </w:r>
    </w:p>
    <w:tbl>
      <w:tblPr>
        <w:tblStyle w:val="TableGrid"/>
        <w:tblW w:w="9039" w:type="dxa"/>
        <w:tblInd w:w="144" w:type="dxa"/>
        <w:tblLook w:val="04A0" w:firstRow="1" w:lastRow="0" w:firstColumn="1" w:lastColumn="0" w:noHBand="0" w:noVBand="1"/>
      </w:tblPr>
      <w:tblGrid>
        <w:gridCol w:w="2978"/>
        <w:gridCol w:w="2866"/>
        <w:gridCol w:w="3195"/>
      </w:tblGrid>
      <w:tr w:rsidR="00773ADC">
        <w:trPr>
          <w:trHeight w:val="721"/>
        </w:trPr>
        <w:tc>
          <w:tcPr>
            <w:tcW w:w="2979" w:type="dxa"/>
            <w:tcBorders>
              <w:top w:val="nil"/>
              <w:left w:val="nil"/>
              <w:bottom w:val="nil"/>
              <w:right w:val="nil"/>
            </w:tcBorders>
          </w:tcPr>
          <w:p w:rsidR="00773ADC" w:rsidRDefault="009D7008">
            <w:pPr>
              <w:spacing w:after="0" w:line="259" w:lineRule="auto"/>
              <w:ind w:left="0" w:right="0" w:firstLine="0"/>
            </w:pPr>
            <w:r>
              <w:rPr>
                <w:sz w:val="20"/>
              </w:rPr>
              <w:t xml:space="preserve">Quelle: Edwin Baumgartner, </w:t>
            </w:r>
          </w:p>
          <w:p w:rsidR="00773ADC" w:rsidRDefault="009D7008">
            <w:pPr>
              <w:spacing w:after="24" w:line="259" w:lineRule="auto"/>
              <w:ind w:left="0" w:right="0" w:firstLine="0"/>
            </w:pPr>
            <w:r>
              <w:rPr>
                <w:sz w:val="20"/>
              </w:rPr>
              <w:t xml:space="preserve">Wiener Zeitung, 24.02.2019 </w:t>
            </w:r>
          </w:p>
          <w:p w:rsidR="00773ADC" w:rsidRDefault="009D7008">
            <w:pPr>
              <w:spacing w:after="0" w:line="259" w:lineRule="auto"/>
              <w:ind w:left="0" w:right="0" w:firstLine="0"/>
            </w:pPr>
            <w:r>
              <w:rPr>
                <w:sz w:val="20"/>
              </w:rPr>
              <w:t xml:space="preserve"> </w:t>
            </w:r>
          </w:p>
        </w:tc>
        <w:tc>
          <w:tcPr>
            <w:tcW w:w="2866" w:type="dxa"/>
            <w:tcBorders>
              <w:top w:val="nil"/>
              <w:left w:val="nil"/>
              <w:bottom w:val="nil"/>
              <w:right w:val="nil"/>
            </w:tcBorders>
          </w:tcPr>
          <w:p w:rsidR="00773ADC" w:rsidRDefault="009D7008">
            <w:pPr>
              <w:spacing w:after="0" w:line="259" w:lineRule="auto"/>
              <w:ind w:left="281" w:right="0" w:firstLine="0"/>
            </w:pPr>
            <w:r>
              <w:rPr>
                <w:sz w:val="20"/>
              </w:rPr>
              <w:t xml:space="preserve">Tag des Schachtelsatzes – Eleganz und Groteske; TU Dresden, 24.02.2020 </w:t>
            </w:r>
          </w:p>
        </w:tc>
        <w:tc>
          <w:tcPr>
            <w:tcW w:w="3195" w:type="dxa"/>
            <w:tcBorders>
              <w:top w:val="nil"/>
              <w:left w:val="nil"/>
              <w:bottom w:val="nil"/>
              <w:right w:val="nil"/>
            </w:tcBorders>
          </w:tcPr>
          <w:p w:rsidR="00773ADC" w:rsidRDefault="009D7008">
            <w:pPr>
              <w:spacing w:after="0" w:line="259" w:lineRule="auto"/>
              <w:ind w:left="394" w:right="56" w:firstLine="0"/>
            </w:pPr>
            <w:r>
              <w:rPr>
                <w:sz w:val="20"/>
              </w:rPr>
              <w:t xml:space="preserve">Tag der Schachtelsätze  am 25. Februar – Ehrentag der Hypotaxe in Deutschland </w:t>
            </w:r>
          </w:p>
        </w:tc>
      </w:tr>
    </w:tbl>
    <w:p w:rsidR="00773ADC" w:rsidRDefault="009D7008">
      <w:pPr>
        <w:tabs>
          <w:tab w:val="center" w:pos="1706"/>
          <w:tab w:val="center" w:pos="4860"/>
          <w:tab w:val="center" w:pos="7967"/>
        </w:tabs>
        <w:spacing w:after="46" w:line="259" w:lineRule="auto"/>
        <w:ind w:left="0" w:right="0" w:firstLine="0"/>
      </w:pPr>
      <w:r>
        <w:rPr>
          <w:rFonts w:ascii="Calibri" w:eastAsia="Calibri" w:hAnsi="Calibri" w:cs="Calibri"/>
          <w:sz w:val="22"/>
        </w:rPr>
        <w:tab/>
      </w:r>
      <w:r>
        <w:rPr>
          <w:noProof/>
        </w:rPr>
        <w:drawing>
          <wp:inline distT="0" distB="0" distL="0" distR="0">
            <wp:extent cx="887095" cy="887095"/>
            <wp:effectExtent l="0" t="0" r="0" b="0"/>
            <wp:docPr id="1061" name="Picture 1061"/>
            <wp:cNvGraphicFramePr/>
            <a:graphic xmlns:a="http://schemas.openxmlformats.org/drawingml/2006/main">
              <a:graphicData uri="http://schemas.openxmlformats.org/drawingml/2006/picture">
                <pic:pic xmlns:pic="http://schemas.openxmlformats.org/drawingml/2006/picture">
                  <pic:nvPicPr>
                    <pic:cNvPr id="1061" name="Picture 1061"/>
                    <pic:cNvPicPr/>
                  </pic:nvPicPr>
                  <pic:blipFill>
                    <a:blip r:embed="rId11"/>
                    <a:stretch>
                      <a:fillRect/>
                    </a:stretch>
                  </pic:blipFill>
                  <pic:spPr>
                    <a:xfrm>
                      <a:off x="0" y="0"/>
                      <a:ext cx="887095" cy="887095"/>
                    </a:xfrm>
                    <a:prstGeom prst="rect">
                      <a:avLst/>
                    </a:prstGeom>
                  </pic:spPr>
                </pic:pic>
              </a:graphicData>
            </a:graphic>
          </wp:inline>
        </w:drawing>
      </w:r>
      <w:r>
        <w:rPr>
          <w:sz w:val="20"/>
        </w:rPr>
        <w:t xml:space="preserve"> </w:t>
      </w:r>
      <w:r>
        <w:rPr>
          <w:sz w:val="20"/>
        </w:rPr>
        <w:tab/>
      </w:r>
      <w:r>
        <w:rPr>
          <w:noProof/>
        </w:rPr>
        <w:drawing>
          <wp:inline distT="0" distB="0" distL="0" distR="0">
            <wp:extent cx="894080" cy="907415"/>
            <wp:effectExtent l="0" t="0" r="0" b="0"/>
            <wp:docPr id="1063" name="Picture 1063"/>
            <wp:cNvGraphicFramePr/>
            <a:graphic xmlns:a="http://schemas.openxmlformats.org/drawingml/2006/main">
              <a:graphicData uri="http://schemas.openxmlformats.org/drawingml/2006/picture">
                <pic:pic xmlns:pic="http://schemas.openxmlformats.org/drawingml/2006/picture">
                  <pic:nvPicPr>
                    <pic:cNvPr id="1063" name="Picture 1063"/>
                    <pic:cNvPicPr/>
                  </pic:nvPicPr>
                  <pic:blipFill>
                    <a:blip r:embed="rId12"/>
                    <a:stretch>
                      <a:fillRect/>
                    </a:stretch>
                  </pic:blipFill>
                  <pic:spPr>
                    <a:xfrm>
                      <a:off x="0" y="0"/>
                      <a:ext cx="894080" cy="907415"/>
                    </a:xfrm>
                    <a:prstGeom prst="rect">
                      <a:avLst/>
                    </a:prstGeom>
                  </pic:spPr>
                </pic:pic>
              </a:graphicData>
            </a:graphic>
          </wp:inline>
        </w:drawing>
      </w:r>
      <w:r>
        <w:rPr>
          <w:sz w:val="20"/>
        </w:rPr>
        <w:t xml:space="preserve"> </w:t>
      </w:r>
      <w:r>
        <w:rPr>
          <w:sz w:val="20"/>
        </w:rPr>
        <w:tab/>
      </w:r>
      <w:r>
        <w:rPr>
          <w:noProof/>
        </w:rPr>
        <w:drawing>
          <wp:inline distT="0" distB="0" distL="0" distR="0">
            <wp:extent cx="907415" cy="887095"/>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13"/>
                    <a:stretch>
                      <a:fillRect/>
                    </a:stretch>
                  </pic:blipFill>
                  <pic:spPr>
                    <a:xfrm>
                      <a:off x="0" y="0"/>
                      <a:ext cx="907415" cy="887095"/>
                    </a:xfrm>
                    <a:prstGeom prst="rect">
                      <a:avLst/>
                    </a:prstGeom>
                  </pic:spPr>
                </pic:pic>
              </a:graphicData>
            </a:graphic>
          </wp:inline>
        </w:drawing>
      </w:r>
      <w:r>
        <w:rPr>
          <w:sz w:val="20"/>
        </w:rPr>
        <w:t xml:space="preserve"> </w:t>
      </w:r>
    </w:p>
    <w:p w:rsidR="00773ADC" w:rsidRDefault="009D7008">
      <w:pPr>
        <w:spacing w:after="0" w:line="259" w:lineRule="auto"/>
        <w:ind w:left="0" w:right="0" w:firstLine="0"/>
      </w:pPr>
      <w:r>
        <w:rPr>
          <w:sz w:val="20"/>
        </w:rPr>
        <w:t xml:space="preserve"> </w:t>
      </w:r>
      <w:r>
        <w:t xml:space="preserve"> </w:t>
      </w:r>
    </w:p>
    <w:p w:rsidR="00773ADC" w:rsidRDefault="009D7008">
      <w:pPr>
        <w:spacing w:after="0" w:line="259" w:lineRule="auto"/>
        <w:ind w:left="0" w:right="0" w:firstLine="0"/>
      </w:pPr>
      <w:r>
        <w:rPr>
          <w:b/>
          <w:sz w:val="20"/>
        </w:rPr>
        <w:lastRenderedPageBreak/>
        <w:t>Tag der Schachtelsätze  – 25. Februar</w:t>
      </w:r>
      <w:r>
        <w:t xml:space="preserve"> </w:t>
      </w:r>
    </w:p>
    <w:p w:rsidR="00773ADC" w:rsidRDefault="009D7008">
      <w:pPr>
        <w:spacing w:after="0" w:line="259" w:lineRule="auto"/>
        <w:ind w:left="0" w:right="0" w:firstLine="0"/>
      </w:pPr>
      <w:r>
        <w:rPr>
          <w:sz w:val="20"/>
        </w:rPr>
        <w:t xml:space="preserve"> </w:t>
      </w:r>
      <w:r>
        <w:rPr>
          <w:rFonts w:ascii="Arial Unicode MS" w:eastAsia="Arial Unicode MS" w:hAnsi="Arial Unicode MS" w:cs="Arial Unicode MS"/>
        </w:rPr>
        <w:t xml:space="preserve"> </w:t>
      </w:r>
    </w:p>
    <w:p w:rsidR="00773ADC" w:rsidRDefault="009D7008">
      <w:pPr>
        <w:spacing w:after="0" w:line="246" w:lineRule="auto"/>
        <w:ind w:left="4681" w:right="971" w:hanging="4537"/>
      </w:pPr>
      <w:r>
        <w:rPr>
          <w:sz w:val="20"/>
        </w:rPr>
        <w:t xml:space="preserve">Schachtelsätze – Sätze wie </w:t>
      </w:r>
      <w:proofErr w:type="spellStart"/>
      <w:r>
        <w:rPr>
          <w:sz w:val="20"/>
        </w:rPr>
        <w:t>Matrjoschki</w:t>
      </w:r>
      <w:proofErr w:type="spellEnd"/>
      <w:r>
        <w:rPr>
          <w:sz w:val="20"/>
        </w:rPr>
        <w:t xml:space="preserve">    </w:t>
      </w:r>
      <w:r>
        <w:rPr>
          <w:sz w:val="20"/>
        </w:rPr>
        <w:tab/>
        <w:t xml:space="preserve">Lange Sätze sind schwer zu lesen,  aber bisweilen klingen sie wie Musik. </w:t>
      </w:r>
    </w:p>
    <w:p w:rsidR="00773ADC" w:rsidRDefault="009D7008">
      <w:pPr>
        <w:spacing w:after="103" w:line="259" w:lineRule="auto"/>
        <w:ind w:left="0" w:right="-106" w:firstLine="0"/>
      </w:pPr>
      <w:r>
        <w:rPr>
          <w:rFonts w:ascii="Calibri" w:eastAsia="Calibri" w:hAnsi="Calibri" w:cs="Calibri"/>
          <w:noProof/>
          <w:sz w:val="22"/>
        </w:rPr>
        <mc:AlternateContent>
          <mc:Choice Requires="wpg">
            <w:drawing>
              <wp:inline distT="0" distB="0" distL="0" distR="0">
                <wp:extent cx="5941822" cy="12192"/>
                <wp:effectExtent l="0" t="0" r="0" b="0"/>
                <wp:docPr id="7960" name="Group 7960"/>
                <wp:cNvGraphicFramePr/>
                <a:graphic xmlns:a="http://schemas.openxmlformats.org/drawingml/2006/main">
                  <a:graphicData uri="http://schemas.microsoft.com/office/word/2010/wordprocessingGroup">
                    <wpg:wgp>
                      <wpg:cNvGrpSpPr/>
                      <wpg:grpSpPr>
                        <a:xfrm>
                          <a:off x="0" y="0"/>
                          <a:ext cx="5941822" cy="12192"/>
                          <a:chOff x="0" y="0"/>
                          <a:chExt cx="5941822" cy="12192"/>
                        </a:xfrm>
                      </wpg:grpSpPr>
                      <wps:wsp>
                        <wps:cNvPr id="13903" name="Shape 13903"/>
                        <wps:cNvSpPr/>
                        <wps:spPr>
                          <a:xfrm>
                            <a:off x="0" y="0"/>
                            <a:ext cx="5941822" cy="12192"/>
                          </a:xfrm>
                          <a:custGeom>
                            <a:avLst/>
                            <a:gdLst/>
                            <a:ahLst/>
                            <a:cxnLst/>
                            <a:rect l="0" t="0" r="0" b="0"/>
                            <a:pathLst>
                              <a:path w="5941822" h="12192">
                                <a:moveTo>
                                  <a:pt x="0" y="0"/>
                                </a:moveTo>
                                <a:lnTo>
                                  <a:pt x="5941822" y="0"/>
                                </a:lnTo>
                                <a:lnTo>
                                  <a:pt x="59418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ABA990" id="Group 7960" o:spid="_x0000_s1026" style="width:467.85pt;height:.95pt;mso-position-horizontal-relative:char;mso-position-vertical-relative:line" coordsize="594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">
                <v:shape id="Shape 13903" o:spid="_x0000_s1027" style="position:absolute;width:59418;height:121;visibility:visible;mso-wrap-style:square;v-text-anchor:top" coordsize="594182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2tcQA&#10;AADeAAAADwAAAGRycy9kb3ducmV2LnhtbERP32vCMBB+H+x/CDfY20xXQVxnFFEcA2FQFfZ6NLe2&#10;NLl0SbTdf2+EgW/38f28xWq0RlzIh9axgtdJBoK4crrlWsHpuHuZgwgRWaNxTAr+KMBq+fiwwEK7&#10;gUu6HGItUgiHAhU0MfaFlKFqyGKYuJ44cT/OW4wJ+lpqj0MKt0bmWTaTFltODQ32tGmo6g5nq2Cb&#10;n4e1+eDy+5f2m+6rPBmfd0o9P43rdxCRxngX/7s/dZo/fcumcHsn3S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IdrXEAAAA3gAAAA8AAAAAAAAAAAAAAAAAmAIAAGRycy9k&#10;b3ducmV2LnhtbFBLBQYAAAAABAAEAPUAAACJAwAAAAA=&#10;" path="m,l5941822,r,12192l,12192,,e" fillcolor="black" stroked="f" strokeweight="0">
                  <v:stroke miterlimit="83231f" joinstyle="miter"/>
                  <v:path arrowok="t" textboxrect="0,0,5941822,12192"/>
                </v:shape>
                <w10:anchorlock/>
              </v:group>
            </w:pict>
          </mc:Fallback>
        </mc:AlternateContent>
      </w:r>
    </w:p>
    <w:p w:rsidR="00773ADC" w:rsidRDefault="009D7008">
      <w:pPr>
        <w:spacing w:after="317" w:line="259" w:lineRule="auto"/>
        <w:ind w:left="144" w:right="0" w:firstLine="0"/>
      </w:pPr>
      <w:r>
        <w:rPr>
          <w:sz w:val="20"/>
        </w:rPr>
        <w:t xml:space="preserve"> </w:t>
      </w:r>
    </w:p>
    <w:p w:rsidR="00773ADC" w:rsidRDefault="009D7008">
      <w:r>
        <w:t xml:space="preserve">Der </w:t>
      </w:r>
      <w:r>
        <w:rPr>
          <w:u w:val="single" w:color="000000"/>
        </w:rPr>
        <w:t>Schachtelsatz</w:t>
      </w:r>
      <w:r>
        <w:t xml:space="preserve">,  der am 25. Februar auf Anregung des deutschen Cartoonisten und Bloggers </w:t>
      </w:r>
      <w:hyperlink r:id="rId14">
        <w:r>
          <w:rPr>
            <w:b/>
            <w:color w:val="0563C1"/>
            <w:u w:val="single" w:color="0563C1"/>
          </w:rPr>
          <w:t xml:space="preserve">Bastian </w:t>
        </w:r>
        <w:proofErr w:type="spellStart"/>
        <w:r>
          <w:rPr>
            <w:b/>
            <w:color w:val="0563C1"/>
            <w:u w:val="single" w:color="0563C1"/>
          </w:rPr>
          <w:t>Melnyk</w:t>
        </w:r>
        <w:proofErr w:type="spellEnd"/>
      </w:hyperlink>
      <w:hyperlink r:id="rId15">
        <w:r>
          <w:t xml:space="preserve"> </w:t>
        </w:r>
      </w:hyperlink>
      <w:r>
        <w:t xml:space="preserve">gefeiert wird,  </w:t>
      </w:r>
    </w:p>
    <w:p w:rsidR="00773ADC" w:rsidRDefault="009D7008">
      <w:pPr>
        <w:ind w:left="695" w:right="1660" w:firstLine="0"/>
      </w:pPr>
      <w:r>
        <w:t xml:space="preserve">mit einem anderen deutschen Ausdruck Bandwurmsatz genannt,  der Schachtelsatz nämlich,  nicht der Cartoonist und Blogger Bastian </w:t>
      </w:r>
      <w:proofErr w:type="spellStart"/>
      <w:r>
        <w:t>Melnyk</w:t>
      </w:r>
      <w:proofErr w:type="spellEnd"/>
      <w:r>
        <w:t xml:space="preserve">,  </w:t>
      </w:r>
    </w:p>
    <w:p w:rsidR="00773ADC" w:rsidRDefault="009D7008">
      <w:pPr>
        <w:ind w:left="1271" w:right="0"/>
      </w:pPr>
      <w:r>
        <w:rPr>
          <w:noProof/>
        </w:rPr>
        <w:drawing>
          <wp:anchor distT="0" distB="0" distL="114300" distR="114300" simplePos="0" relativeHeight="251658240" behindDoc="0" locked="0" layoutInCell="1" allowOverlap="0">
            <wp:simplePos x="0" y="0"/>
            <wp:positionH relativeFrom="column">
              <wp:posOffset>4760290</wp:posOffset>
            </wp:positionH>
            <wp:positionV relativeFrom="paragraph">
              <wp:posOffset>205105</wp:posOffset>
            </wp:positionV>
            <wp:extent cx="1177290" cy="3651885"/>
            <wp:effectExtent l="0" t="0" r="0" b="0"/>
            <wp:wrapSquare wrapText="bothSides"/>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16"/>
                    <a:stretch>
                      <a:fillRect/>
                    </a:stretch>
                  </pic:blipFill>
                  <pic:spPr>
                    <a:xfrm>
                      <a:off x="0" y="0"/>
                      <a:ext cx="1177290" cy="3651885"/>
                    </a:xfrm>
                    <a:prstGeom prst="rect">
                      <a:avLst/>
                    </a:prstGeom>
                  </pic:spPr>
                </pic:pic>
              </a:graphicData>
            </a:graphic>
          </wp:anchor>
        </w:drawing>
      </w:r>
      <w:r>
        <w:t xml:space="preserve">und der,  gemeint ist abermals der Satz,  </w:t>
      </w:r>
    </w:p>
    <w:p w:rsidR="00773ADC" w:rsidRDefault="009D7008">
      <w:pPr>
        <w:ind w:left="695" w:right="0" w:firstLine="0"/>
      </w:pPr>
      <w:r>
        <w:t xml:space="preserve">auf Griechisch Hypotaxe heißt,  </w:t>
      </w:r>
    </w:p>
    <w:p w:rsidR="00773ADC" w:rsidRDefault="009D7008">
      <w:pPr>
        <w:spacing w:after="0" w:line="259" w:lineRule="auto"/>
        <w:ind w:left="144" w:right="0" w:firstLine="0"/>
      </w:pPr>
      <w:r>
        <w:t xml:space="preserve"> </w:t>
      </w:r>
    </w:p>
    <w:p w:rsidR="00773ADC" w:rsidRDefault="009D7008">
      <w:pPr>
        <w:ind w:right="0"/>
      </w:pPr>
      <w:r>
        <w:t xml:space="preserve">stellt gewissermaßen ein Äquivalent zu den </w:t>
      </w:r>
      <w:proofErr w:type="spellStart"/>
      <w:r>
        <w:rPr>
          <w:u w:val="single" w:color="000000"/>
        </w:rPr>
        <w:t>Matrjoschki</w:t>
      </w:r>
      <w:proofErr w:type="spellEnd"/>
      <w:r>
        <w:t xml:space="preserve"> dar,  diesen russischen </w:t>
      </w:r>
      <w:r>
        <w:rPr>
          <w:u w:val="single" w:color="000000"/>
        </w:rPr>
        <w:t>Holzfiguren</w:t>
      </w:r>
      <w:r>
        <w:t xml:space="preserve">,  die Sergei Wassiljewitsch </w:t>
      </w:r>
      <w:proofErr w:type="spellStart"/>
      <w:r>
        <w:rPr>
          <w:u w:val="single" w:color="000000"/>
        </w:rPr>
        <w:t>Maljutin</w:t>
      </w:r>
      <w:proofErr w:type="spellEnd"/>
      <w:r>
        <w:t xml:space="preserve">,  ein russischer Maler und Architekt,  </w:t>
      </w:r>
    </w:p>
    <w:p w:rsidR="00773ADC" w:rsidRDefault="009D7008">
      <w:pPr>
        <w:ind w:left="695" w:right="0" w:firstLine="566"/>
      </w:pPr>
      <w:r>
        <w:t xml:space="preserve">1890 nach einem japanischen Vorbild gestaltet hat,  den </w:t>
      </w:r>
      <w:r>
        <w:rPr>
          <w:u w:val="single" w:color="000000"/>
        </w:rPr>
        <w:t>Puppen</w:t>
      </w:r>
      <w:r>
        <w:t xml:space="preserve"> also,  bei denen eine in der anderen steckt und  die sich bei </w:t>
      </w:r>
      <w:r>
        <w:rPr>
          <w:u w:val="single" w:color="000000"/>
        </w:rPr>
        <w:t>Touristen</w:t>
      </w:r>
      <w:r>
        <w:t xml:space="preserve"> großer Beliebtheit erfreuen,  wenn sie nicht </w:t>
      </w:r>
      <w:r>
        <w:rPr>
          <w:u w:val="single" w:color="000000"/>
        </w:rPr>
        <w:t>wissen</w:t>
      </w:r>
      <w:r>
        <w:t xml:space="preserve">,  was sonst sie aus Russland mitbringen könnten,  </w:t>
      </w:r>
    </w:p>
    <w:p w:rsidR="00773ADC" w:rsidRDefault="009D7008">
      <w:pPr>
        <w:ind w:left="1853" w:right="0"/>
      </w:pPr>
      <w:r>
        <w:t xml:space="preserve">was Aussicht hat,  länger haltbar zu sein als eine </w:t>
      </w:r>
      <w:r>
        <w:rPr>
          <w:u w:val="single" w:color="000000"/>
        </w:rPr>
        <w:t>Flasche</w:t>
      </w:r>
      <w:r>
        <w:t xml:space="preserve"> des geruchsfreien </w:t>
      </w:r>
      <w:r>
        <w:rPr>
          <w:u w:val="single" w:color="000000"/>
        </w:rPr>
        <w:t>Schnapses</w:t>
      </w:r>
      <w:r>
        <w:t xml:space="preserve">,  der aus Getreide hergestellt und  </w:t>
      </w:r>
    </w:p>
    <w:p w:rsidR="00773ADC" w:rsidRDefault="009D7008">
      <w:pPr>
        <w:ind w:left="2989" w:right="0"/>
      </w:pPr>
      <w:r>
        <w:t xml:space="preserve">Wodka genannt wird,  was,  übersetzt,  </w:t>
      </w:r>
    </w:p>
    <w:p w:rsidR="00773ADC" w:rsidRDefault="009D7008">
      <w:pPr>
        <w:ind w:left="2413" w:right="914" w:firstLine="566"/>
      </w:pPr>
      <w:r>
        <w:t xml:space="preserve">"Wässerchen" bedeutet,  die möglicherweise schon auf dem </w:t>
      </w:r>
      <w:r>
        <w:rPr>
          <w:u w:val="single" w:color="000000"/>
        </w:rPr>
        <w:t>Flug</w:t>
      </w:r>
      <w:r>
        <w:t xml:space="preserve">,  sofern dieser in wetterbedingte Turbulenzen gerät,  </w:t>
      </w:r>
    </w:p>
    <w:p w:rsidR="00773ADC" w:rsidRDefault="009D7008">
      <w:pPr>
        <w:ind w:left="2413" w:right="173" w:firstLine="0"/>
      </w:pPr>
      <w:r>
        <w:t xml:space="preserve">oder dann auf dem Flughafen ausgetrunken wird,  wenn das </w:t>
      </w:r>
      <w:r>
        <w:rPr>
          <w:u w:val="single" w:color="000000"/>
        </w:rPr>
        <w:t>Gepäck</w:t>
      </w:r>
      <w:r>
        <w:t xml:space="preserve">,  wie es bisweilen </w:t>
      </w:r>
      <w:r>
        <w:rPr>
          <w:u w:val="single" w:color="000000"/>
        </w:rPr>
        <w:t>vorkommt</w:t>
      </w:r>
      <w:r>
        <w:t xml:space="preserve">,  wenn das zuständige Personal unachtsam gewesen ist oder  </w:t>
      </w:r>
    </w:p>
    <w:p w:rsidR="00773ADC" w:rsidRDefault="009D7008">
      <w:pPr>
        <w:spacing w:after="0" w:line="259" w:lineRule="auto"/>
        <w:ind w:left="1313" w:right="0" w:firstLine="0"/>
        <w:jc w:val="center"/>
      </w:pPr>
      <w:r>
        <w:t xml:space="preserve">die Aufkleber falsch gelesen hat,  </w:t>
      </w:r>
    </w:p>
    <w:p w:rsidR="00773ADC" w:rsidRDefault="009D7008">
      <w:pPr>
        <w:ind w:left="2413" w:right="0" w:firstLine="0"/>
      </w:pPr>
      <w:r>
        <w:t xml:space="preserve">verloren gegangen ist,  </w:t>
      </w:r>
    </w:p>
    <w:p w:rsidR="00773ADC" w:rsidRDefault="009D7008">
      <w:pPr>
        <w:spacing w:after="0" w:line="259" w:lineRule="auto"/>
        <w:ind w:left="144" w:right="0" w:firstLine="0"/>
      </w:pPr>
      <w:r>
        <w:t xml:space="preserve"> </w:t>
      </w:r>
    </w:p>
    <w:p w:rsidR="00773ADC" w:rsidRDefault="009D7008">
      <w:pPr>
        <w:spacing w:after="49"/>
        <w:ind w:right="293"/>
      </w:pPr>
      <w:r>
        <w:t xml:space="preserve">kann unter Umständen so kompliziert sein,  dass man auch in der eigenen Muttersprache die </w:t>
      </w:r>
      <w:r>
        <w:rPr>
          <w:u w:val="single" w:color="000000"/>
        </w:rPr>
        <w:t>Grammatik</w:t>
      </w:r>
      <w:r>
        <w:t xml:space="preserve"> zu Hilfe nehmen muss,  um durch die Reihen von Wörtern und Sätzen durchzufinden.</w:t>
      </w:r>
      <w:r>
        <w:rPr>
          <w:sz w:val="20"/>
        </w:rPr>
        <w:t xml:space="preserve"> </w:t>
      </w:r>
    </w:p>
    <w:p w:rsidR="00773ADC" w:rsidRDefault="009D7008">
      <w:pPr>
        <w:spacing w:after="0" w:line="259" w:lineRule="auto"/>
        <w:ind w:left="0" w:right="394" w:firstLine="0"/>
      </w:pPr>
      <w:r>
        <w:t xml:space="preserve"> </w:t>
      </w:r>
    </w:p>
    <w:p w:rsidR="00773ADC" w:rsidRDefault="009D7008">
      <w:pPr>
        <w:tabs>
          <w:tab w:val="center" w:pos="8305"/>
        </w:tabs>
        <w:spacing w:after="0" w:line="259" w:lineRule="auto"/>
        <w:ind w:left="0" w:right="0" w:firstLine="0"/>
      </w:pPr>
      <w:r>
        <w:t xml:space="preserve"> </w:t>
      </w:r>
      <w:r>
        <w:tab/>
      </w:r>
      <w:r>
        <w:rPr>
          <w:noProof/>
        </w:rPr>
        <w:drawing>
          <wp:inline distT="0" distB="0" distL="0" distR="0">
            <wp:extent cx="701675" cy="719455"/>
            <wp:effectExtent l="0" t="0" r="0" b="0"/>
            <wp:docPr id="1243" name="Picture 1243"/>
            <wp:cNvGraphicFramePr/>
            <a:graphic xmlns:a="http://schemas.openxmlformats.org/drawingml/2006/main">
              <a:graphicData uri="http://schemas.openxmlformats.org/drawingml/2006/picture">
                <pic:pic xmlns:pic="http://schemas.openxmlformats.org/drawingml/2006/picture">
                  <pic:nvPicPr>
                    <pic:cNvPr id="1243" name="Picture 1243"/>
                    <pic:cNvPicPr/>
                  </pic:nvPicPr>
                  <pic:blipFill>
                    <a:blip r:embed="rId17"/>
                    <a:stretch>
                      <a:fillRect/>
                    </a:stretch>
                  </pic:blipFill>
                  <pic:spPr>
                    <a:xfrm>
                      <a:off x="0" y="0"/>
                      <a:ext cx="701675" cy="719455"/>
                    </a:xfrm>
                    <a:prstGeom prst="rect">
                      <a:avLst/>
                    </a:prstGeom>
                  </pic:spPr>
                </pic:pic>
              </a:graphicData>
            </a:graphic>
          </wp:inline>
        </w:drawing>
      </w:r>
    </w:p>
    <w:sectPr w:rsidR="00773ADC">
      <w:footerReference w:type="default" r:id="rId18"/>
      <w:pgSz w:w="11906" w:h="16838"/>
      <w:pgMar w:top="711" w:right="1238" w:bottom="1125" w:left="1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3BD" w:rsidRDefault="006773BD" w:rsidP="0019473E">
      <w:pPr>
        <w:spacing w:after="0" w:line="240" w:lineRule="auto"/>
      </w:pPr>
      <w:r>
        <w:separator/>
      </w:r>
    </w:p>
  </w:endnote>
  <w:endnote w:type="continuationSeparator" w:id="0">
    <w:p w:rsidR="006773BD" w:rsidRDefault="006773BD" w:rsidP="0019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3E" w:rsidRPr="0019473E" w:rsidRDefault="006773BD" w:rsidP="0019473E">
    <w:pPr>
      <w:pStyle w:val="Fuzeile"/>
      <w:rPr>
        <w:sz w:val="16"/>
        <w:szCs w:val="16"/>
      </w:rPr>
    </w:pPr>
    <w:hyperlink r:id="rId1" w:tgtFrame="_blank" w:history="1">
      <w:r w:rsidR="0019473E">
        <w:rPr>
          <w:rStyle w:val="Hyperlink"/>
          <w:sz w:val="16"/>
          <w:szCs w:val="16"/>
        </w:rPr>
        <w:t>https://kleine-deutsch-hilfe.at/SCH01_PA.htm</w:t>
      </w:r>
    </w:hyperlink>
    <w:r w:rsidR="0019473E" w:rsidRPr="00DB607B">
      <w:rPr>
        <w:sz w:val="16"/>
        <w:szCs w:val="16"/>
      </w:rPr>
      <w:t xml:space="preserve"> </w:t>
    </w:r>
    <w:r w:rsidR="0019473E">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3BD" w:rsidRDefault="006773BD" w:rsidP="0019473E">
      <w:pPr>
        <w:spacing w:after="0" w:line="240" w:lineRule="auto"/>
      </w:pPr>
      <w:r>
        <w:separator/>
      </w:r>
    </w:p>
  </w:footnote>
  <w:footnote w:type="continuationSeparator" w:id="0">
    <w:p w:rsidR="006773BD" w:rsidRDefault="006773BD" w:rsidP="00194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DC"/>
    <w:rsid w:val="0019473E"/>
    <w:rsid w:val="004056F3"/>
    <w:rsid w:val="00554A5E"/>
    <w:rsid w:val="006773BD"/>
    <w:rsid w:val="00751F11"/>
    <w:rsid w:val="00773ADC"/>
    <w:rsid w:val="009D7008"/>
    <w:rsid w:val="00A9550F"/>
    <w:rsid w:val="00D11A02"/>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9E18D-A70C-4504-BA71-900454AA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5" w:line="249" w:lineRule="auto"/>
      <w:ind w:left="720" w:right="450" w:hanging="576"/>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spacing w:after="0"/>
      <w:ind w:left="101"/>
      <w:outlineLvl w:val="0"/>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1947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473E"/>
    <w:rPr>
      <w:rFonts w:ascii="Arial" w:eastAsia="Arial" w:hAnsi="Arial" w:cs="Arial"/>
      <w:color w:val="000000"/>
      <w:sz w:val="24"/>
    </w:rPr>
  </w:style>
  <w:style w:type="paragraph" w:styleId="Fuzeile">
    <w:name w:val="footer"/>
    <w:basedOn w:val="Standard"/>
    <w:link w:val="FuzeileZchn"/>
    <w:uiPriority w:val="99"/>
    <w:unhideWhenUsed/>
    <w:rsid w:val="001947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473E"/>
    <w:rPr>
      <w:rFonts w:ascii="Arial" w:eastAsia="Arial" w:hAnsi="Arial" w:cs="Arial"/>
      <w:color w:val="000000"/>
      <w:sz w:val="24"/>
    </w:rPr>
  </w:style>
  <w:style w:type="character" w:styleId="Hyperlink">
    <w:name w:val="Hyperlink"/>
    <w:basedOn w:val="Absatz-Standardschriftart"/>
    <w:uiPriority w:val="99"/>
    <w:unhideWhenUsed/>
    <w:rsid w:val="001947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kleine-deutsch-hilfe.at/SCH01_DE.htm" TargetMode="Externa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nstagram.com/bastianmelnyk/" TargetMode="External"/><Relationship Id="rId12" Type="http://schemas.openxmlformats.org/officeDocument/2006/relationships/image" Target="media/image2.jpg"/><Relationship Id="rId17" Type="http://schemas.openxmlformats.org/officeDocument/2006/relationships/image" Target="media/image5.jpg"/><Relationship Id="rId2" Type="http://schemas.openxmlformats.org/officeDocument/2006/relationships/settings" Target="settings.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image" Target="media/image1.jpg"/><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hyperlink" Target="https://www.deepl.com/de/translator"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eepl.com/de/translator" TargetMode="External"/><Relationship Id="rId14" Type="http://schemas.openxmlformats.org/officeDocument/2006/relationships/hyperlink" Target="https://www.instagram.com/bastianmelny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cp:lastModifiedBy>            </cp:lastModifiedBy>
  <cp:revision>7</cp:revision>
  <cp:lastPrinted>2026-02-27T08:10:00Z</cp:lastPrinted>
  <dcterms:created xsi:type="dcterms:W3CDTF">2026-02-26T16:55:00Z</dcterms:created>
  <dcterms:modified xsi:type="dcterms:W3CDTF">2026-02-27T08:10:00Z</dcterms:modified>
</cp:coreProperties>
</file>