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E8" w:rsidRDefault="00EC3129">
      <w:r>
        <w:rPr>
          <w:rFonts w:ascii="Arial" w:hAnsi="Arial" w:cs="Arial"/>
          <w:b/>
          <w:bCs/>
          <w:sz w:val="18"/>
          <w:szCs w:val="18"/>
          <w:lang w:val="de-CH"/>
        </w:rPr>
        <w:t xml:space="preserve">(SCH01)   –   [AR]    Themen Texte  /  </w:t>
      </w:r>
      <w:r>
        <w:rPr>
          <w:rFonts w:ascii="Arial" w:hAnsi="Arial" w:cs="Arial"/>
          <w:b/>
          <w:bCs/>
          <w:sz w:val="22"/>
          <w:szCs w:val="22"/>
          <w:rtl/>
          <w:lang w:val="de-CH"/>
        </w:rPr>
        <w:t>المواضيع، النصوص</w:t>
      </w:r>
      <w:r>
        <w:rPr>
          <w:rFonts w:ascii="Arial" w:hAnsi="Arial" w:cs="Arial"/>
          <w:b/>
          <w:bCs/>
          <w:sz w:val="18"/>
          <w:szCs w:val="18"/>
          <w:lang w:val="de-CH"/>
        </w:rPr>
        <w:t xml:space="preserve">  </w:t>
      </w:r>
    </w:p>
    <w:p w:rsidR="001124E8" w:rsidRDefault="00EC3129">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1124E8">
        <w:tc>
          <w:tcPr>
            <w:tcW w:w="4686" w:type="dxa"/>
            <w:tcBorders>
              <w:top w:val="nil"/>
              <w:left w:val="nil"/>
              <w:bottom w:val="single" w:sz="8" w:space="0" w:color="auto"/>
              <w:right w:val="nil"/>
            </w:tcBorders>
            <w:noWrap/>
            <w:tcMar>
              <w:top w:w="0" w:type="dxa"/>
              <w:left w:w="108" w:type="dxa"/>
              <w:bottom w:w="0" w:type="dxa"/>
              <w:right w:w="108" w:type="dxa"/>
            </w:tcMar>
            <w:hideMark/>
          </w:tcPr>
          <w:p w:rsidR="001124E8" w:rsidRDefault="00EC3129">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1124E8" w:rsidRDefault="00EC3129">
            <w:pPr>
              <w:spacing w:line="300" w:lineRule="atLeast"/>
              <w:jc w:val="right"/>
            </w:pPr>
            <w:r>
              <w:rPr>
                <w:rFonts w:ascii="Arial" w:hAnsi="Arial" w:cs="Arial"/>
                <w:b/>
                <w:bCs/>
                <w:rtl/>
                <w:lang w:val="de-CH"/>
              </w:rPr>
              <w:t xml:space="preserve">يوم الجمل المركبة  – </w:t>
            </w:r>
            <w:r>
              <w:rPr>
                <w:rFonts w:ascii="Arial" w:hAnsi="Arial" w:cs="Arial"/>
                <w:b/>
                <w:bCs/>
                <w:sz w:val="21"/>
                <w:szCs w:val="21"/>
                <w:rtl/>
                <w:lang w:val="de-CH"/>
              </w:rPr>
              <w:t>25</w:t>
            </w:r>
            <w:r>
              <w:rPr>
                <w:rFonts w:ascii="Arial" w:hAnsi="Arial" w:cs="Arial"/>
                <w:b/>
                <w:bCs/>
                <w:rtl/>
                <w:lang w:val="de-CH"/>
              </w:rPr>
              <w:t xml:space="preserve"> فبراير</w:t>
            </w:r>
          </w:p>
        </w:tc>
      </w:tr>
    </w:tbl>
    <w:p w:rsidR="001124E8" w:rsidRDefault="00EC3129">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1124E8">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1124E8" w:rsidRDefault="00EC3129">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1124E8" w:rsidRDefault="00EC3129">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1124E8" w:rsidRDefault="00EC3129">
            <w:pPr>
              <w:spacing w:before="40"/>
              <w:ind w:left="376" w:hanging="376"/>
              <w:jc w:val="right"/>
              <w:rPr>
                <w:rFonts w:ascii="Arial" w:hAnsi="Arial" w:cs="Arial"/>
              </w:rPr>
            </w:pPr>
            <w:r>
              <w:rPr>
                <w:rFonts w:ascii="Arial" w:hAnsi="Arial" w:cs="Arial"/>
                <w:rtl/>
              </w:rPr>
              <w:t>الجمل المتداخلة – جمل مثل ماتريوشكا</w:t>
            </w:r>
          </w:p>
          <w:p w:rsidR="001124E8" w:rsidRDefault="00EC3129">
            <w:pPr>
              <w:spacing w:before="120"/>
              <w:ind w:left="374" w:hanging="374"/>
              <w:jc w:val="right"/>
              <w:rPr>
                <w:rFonts w:ascii="Arial" w:hAnsi="Arial" w:cs="Arial"/>
                <w:sz w:val="20"/>
                <w:szCs w:val="20"/>
              </w:rPr>
            </w:pPr>
            <w:r>
              <w:rPr>
                <w:rFonts w:ascii="Arial" w:hAnsi="Arial" w:cs="Arial"/>
                <w:rtl/>
              </w:rPr>
              <w:t xml:space="preserve">الجمل الطويلة صعبة القراءة، </w:t>
            </w:r>
            <w:r>
              <w:rPr>
                <w:rFonts w:ascii="Arial" w:hAnsi="Arial" w:cs="Arial"/>
              </w:rPr>
              <w:br/>
            </w:r>
            <w:r>
              <w:rPr>
                <w:rFonts w:ascii="Arial" w:hAnsi="Arial" w:cs="Arial" w:hint="cs"/>
                <w:rtl/>
              </w:rPr>
              <w:t>لكنها تبدو أحيانًا كالموسيقى</w:t>
            </w:r>
            <w:r>
              <w:rPr>
                <w:rFonts w:ascii="Arial" w:hAnsi="Arial" w:cs="Arial"/>
              </w:rPr>
              <w:t>.</w:t>
            </w:r>
          </w:p>
        </w:tc>
      </w:tr>
      <w:tr w:rsidR="001124E8">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1124E8" w:rsidRDefault="00EC3129">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nil"/>
              <w:left w:val="nil"/>
              <w:bottom w:val="single" w:sz="8" w:space="0" w:color="auto"/>
              <w:right w:val="nil"/>
            </w:tcBorders>
            <w:noWrap/>
            <w:tcMar>
              <w:top w:w="57" w:type="dxa"/>
              <w:left w:w="142" w:type="dxa"/>
              <w:bottom w:w="57" w:type="dxa"/>
              <w:right w:w="142" w:type="dxa"/>
            </w:tcMar>
          </w:tcPr>
          <w:p w:rsidR="001124E8" w:rsidRDefault="00EC3129">
            <w:pPr>
              <w:spacing w:before="40"/>
              <w:ind w:left="0" w:firstLine="0"/>
              <w:jc w:val="right"/>
              <w:rPr>
                <w:rFonts w:ascii="Arial" w:hAnsi="Arial" w:cs="Arial"/>
              </w:rPr>
            </w:pPr>
            <w:r>
              <w:rPr>
                <w:rFonts w:ascii="Arial" w:hAnsi="Arial" w:cs="Arial"/>
                <w:rtl/>
              </w:rPr>
              <w:t xml:space="preserve">الجملة المتداخلة، التي يتم الاحتفال بها في </w:t>
            </w:r>
            <w:r>
              <w:rPr>
                <w:rFonts w:ascii="Arial" w:hAnsi="Arial" w:cs="Arial"/>
                <w:sz w:val="21"/>
                <w:szCs w:val="21"/>
                <w:rtl/>
              </w:rPr>
              <w:t>25</w:t>
            </w:r>
            <w:r>
              <w:rPr>
                <w:rFonts w:ascii="Arial" w:hAnsi="Arial" w:cs="Arial"/>
                <w:rtl/>
              </w:rPr>
              <w:t xml:space="preserve"> فبراير بناءً على اقتراح من رسام الكاريكاتير والمدون الألماني باستيان ميلنيك، والتي تسمى بعبارة ألمانية أخرى</w:t>
            </w:r>
            <w:r>
              <w:rPr>
                <w:rFonts w:ascii="Arial" w:hAnsi="Arial" w:cs="Arial"/>
              </w:rPr>
              <w:t xml:space="preserve"> </w:t>
            </w:r>
            <w:r>
              <w:rPr>
                <w:rFonts w:ascii="Arial" w:hAnsi="Arial" w:cs="Arial"/>
                <w:sz w:val="21"/>
                <w:szCs w:val="21"/>
              </w:rPr>
              <w:t>Bandwurmsatz</w:t>
            </w:r>
            <w:r>
              <w:rPr>
                <w:rFonts w:ascii="Arial" w:hAnsi="Arial" w:cs="Arial"/>
                <w:rtl/>
              </w:rPr>
              <w:t>، أي الجملة المتداخلة، وليس رسام الكاريكاتير والمدون باستيان ميلنيك، والمقصود مرة أخرى هو الجملة، والتي تسمى باليونانية</w:t>
            </w:r>
            <w:r>
              <w:rPr>
                <w:rFonts w:ascii="Arial" w:hAnsi="Arial" w:cs="Arial"/>
              </w:rPr>
              <w:t xml:space="preserve"> </w:t>
            </w:r>
            <w:r>
              <w:rPr>
                <w:rFonts w:ascii="Arial" w:hAnsi="Arial" w:cs="Arial"/>
                <w:sz w:val="21"/>
                <w:szCs w:val="21"/>
              </w:rPr>
              <w:t>Hypotaxe</w:t>
            </w:r>
            <w:r>
              <w:rPr>
                <w:rFonts w:ascii="Arial" w:hAnsi="Arial" w:cs="Arial"/>
                <w:rtl/>
              </w:rPr>
              <w:t xml:space="preserve">، تمثل إلى حد ما ما يعادل ماتريوشكا، وهي تلك الدمى الخشبية الروسية التي صممها سيرجي فاسيليفيتش ماليوتين، وهو رسام ومهندس معماري روسي، في عام </w:t>
            </w:r>
            <w:r>
              <w:rPr>
                <w:rFonts w:ascii="Arial" w:hAnsi="Arial" w:cs="Arial"/>
                <w:sz w:val="20"/>
                <w:szCs w:val="20"/>
                <w:rtl/>
              </w:rPr>
              <w:t>1890</w:t>
            </w:r>
            <w:r>
              <w:rPr>
                <w:rFonts w:ascii="Arial" w:hAnsi="Arial" w:cs="Arial"/>
                <w:rtl/>
              </w:rPr>
              <w:t xml:space="preserve"> على غرار نموذج ياباني، أي الدمى التي توضع إحداها داخل الأخرى والتي تحظى بشعبية كبيرة بين السياح الذين لا يعرفون ماذا يمكنهم أن يحضروا معهم من روسيا، وما الذي يمكن أن يدوم لفترة أطول من زجاجة من المشروب الكحولي عديم الرائحة المصنوع من الحبوب ويسمى الفودكا، والذي يعني، عند ترجمته، ”ماء“، والتي قد يتم شربها بالفعل أثناء الرحلة، إذا تعرضت الطائرة لاضطرابات جوية، أو في المطار، إذا فقدت الأمتعة، كما يحدث أحيانًا، عندما يكون الموظفون المسؤولون مهملين أو يقرؤون الملصقات بشكل خاطئ، قد يكون الأمر معقدًا لدرجة أنك تحتاج إلى الاستعانة بقواعد لغتك الأم لتفهم سلسلة الكلمات والجمل</w:t>
            </w:r>
            <w:r>
              <w:rPr>
                <w:rFonts w:ascii="Arial" w:hAnsi="Arial" w:cs="Arial"/>
              </w:rPr>
              <w:t>.</w:t>
            </w:r>
          </w:p>
          <w:p w:rsidR="001124E8" w:rsidRDefault="001124E8">
            <w:pPr>
              <w:spacing w:before="40"/>
              <w:ind w:left="0" w:firstLine="0"/>
              <w:jc w:val="right"/>
              <w:rPr>
                <w:rFonts w:ascii="Arial" w:hAnsi="Arial" w:cs="Arial"/>
              </w:rPr>
            </w:pPr>
          </w:p>
          <w:p w:rsidR="001124E8" w:rsidRDefault="00EC3129">
            <w:pPr>
              <w:spacing w:before="40"/>
              <w:ind w:left="0" w:firstLine="0"/>
              <w:jc w:val="right"/>
              <w:rPr>
                <w:rFonts w:ascii="Arial" w:hAnsi="Arial" w:cs="Arial"/>
                <w:sz w:val="20"/>
                <w:szCs w:val="20"/>
              </w:rPr>
            </w:pPr>
            <w:r>
              <w:rPr>
                <w:rFonts w:ascii="Arial" w:hAnsi="Arial" w:cs="Arial"/>
                <w:sz w:val="22"/>
                <w:szCs w:val="22"/>
                <w:rtl/>
              </w:rPr>
              <w:t>ترجم بواسطة</w:t>
            </w:r>
            <w:r>
              <w:rPr>
                <w:rFonts w:ascii="Arial" w:hAnsi="Arial" w:cs="Arial"/>
                <w:sz w:val="22"/>
                <w:szCs w:val="22"/>
              </w:rPr>
              <w:t xml:space="preserve"> </w:t>
            </w:r>
            <w:r>
              <w:rPr>
                <w:rFonts w:ascii="Arial" w:hAnsi="Arial" w:cs="Arial"/>
                <w:sz w:val="20"/>
                <w:szCs w:val="20"/>
              </w:rPr>
              <w:t>DeepL.com</w:t>
            </w:r>
            <w:r>
              <w:rPr>
                <w:rFonts w:ascii="Arial" w:hAnsi="Arial" w:cs="Arial"/>
                <w:sz w:val="22"/>
                <w:szCs w:val="22"/>
              </w:rPr>
              <w:t xml:space="preserve"> (</w:t>
            </w:r>
            <w:r>
              <w:rPr>
                <w:rFonts w:ascii="Arial" w:hAnsi="Arial" w:cs="Arial" w:hint="cs"/>
                <w:sz w:val="22"/>
                <w:szCs w:val="22"/>
                <w:rtl/>
              </w:rPr>
              <w:t>النسخة المجانية</w:t>
            </w:r>
            <w:r>
              <w:rPr>
                <w:rFonts w:ascii="Arial" w:hAnsi="Arial" w:cs="Arial"/>
                <w:sz w:val="22"/>
                <w:szCs w:val="22"/>
              </w:rPr>
              <w:t>)</w:t>
            </w:r>
          </w:p>
        </w:tc>
      </w:tr>
      <w:tr w:rsidR="001124E8">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1124E8" w:rsidRDefault="00EC3129">
            <w:pPr>
              <w:ind w:left="0" w:firstLine="0"/>
              <w:rPr>
                <w:rFonts w:ascii="Arial" w:hAnsi="Arial" w:cs="Arial"/>
                <w:sz w:val="20"/>
                <w:szCs w:val="20"/>
              </w:rPr>
            </w:pPr>
            <w:r>
              <w:rPr>
                <w:rFonts w:ascii="Arial" w:hAnsi="Arial" w:cs="Arial"/>
                <w:sz w:val="20"/>
                <w:szCs w:val="20"/>
              </w:rPr>
              <w:t>Und dazu eine kleine Hilfe ...</w:t>
            </w:r>
          </w:p>
          <w:p w:rsidR="001124E8" w:rsidRDefault="009917ED">
            <w:pPr>
              <w:ind w:left="0" w:firstLine="0"/>
              <w:rPr>
                <w:rFonts w:ascii="Arial" w:hAnsi="Arial" w:cs="Arial"/>
                <w:sz w:val="20"/>
                <w:szCs w:val="20"/>
              </w:rPr>
            </w:pPr>
            <w:hyperlink r:id="rId7" w:tgtFrame="_blank" w:history="1">
              <w:r w:rsidR="00EC3129">
                <w:rPr>
                  <w:rStyle w:val="Hyperlink"/>
                  <w:rFonts w:ascii="Arial" w:hAnsi="Arial" w:cs="Arial"/>
                  <w:sz w:val="20"/>
                  <w:szCs w:val="20"/>
                </w:rPr>
                <w:t>Strukturierte Darstellung des deutschen Texts</w:t>
              </w:r>
            </w:hyperlink>
            <w:bookmarkStart w:id="0" w:name="_GoBack"/>
            <w:bookmarkEnd w:id="0"/>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1124E8" w:rsidRDefault="00EC3129">
            <w:pPr>
              <w:spacing w:before="40"/>
              <w:ind w:left="0" w:firstLine="0"/>
              <w:jc w:val="right"/>
              <w:rPr>
                <w:rFonts w:ascii="Arial" w:hAnsi="Arial" w:cs="Arial"/>
              </w:rPr>
            </w:pPr>
            <w:r>
              <w:rPr>
                <w:rFonts w:ascii="Arial" w:hAnsi="Arial" w:cs="Arial"/>
                <w:rtl/>
              </w:rPr>
              <w:t>وإضافة إلى ذلك، بعض المساعدة</w:t>
            </w:r>
            <w:r>
              <w:rPr>
                <w:rFonts w:ascii="Arial" w:hAnsi="Arial" w:cs="Arial"/>
              </w:rPr>
              <w:t xml:space="preserve"> ...</w:t>
            </w:r>
          </w:p>
          <w:p w:rsidR="001124E8" w:rsidRDefault="00EC3129">
            <w:pPr>
              <w:spacing w:before="40"/>
              <w:ind w:left="0" w:firstLine="0"/>
              <w:jc w:val="right"/>
              <w:rPr>
                <w:rFonts w:ascii="Arial" w:hAnsi="Arial" w:cs="Arial"/>
              </w:rPr>
            </w:pPr>
            <w:r>
              <w:rPr>
                <w:rFonts w:ascii="Arial" w:hAnsi="Arial" w:cs="Arial"/>
                <w:rtl/>
              </w:rPr>
              <w:t>عرض منظم للنص الألماني</w:t>
            </w:r>
          </w:p>
        </w:tc>
      </w:tr>
      <w:tr w:rsidR="001124E8">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1124E8" w:rsidRDefault="00EC3129">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1124E8" w:rsidRDefault="00EC3129">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1124E8" w:rsidRDefault="00EC3129">
            <w:pPr>
              <w:spacing w:before="40"/>
              <w:ind w:left="0" w:firstLine="0"/>
              <w:jc w:val="right"/>
              <w:rPr>
                <w:rFonts w:ascii="Arial" w:hAnsi="Arial" w:cs="Arial"/>
              </w:rPr>
            </w:pPr>
            <w:r>
              <w:rPr>
                <w:rFonts w:ascii="Arial" w:hAnsi="Arial" w:cs="Arial"/>
                <w:rtl/>
              </w:rPr>
              <w:t>واجب منزلي لك:   تحقق</w:t>
            </w:r>
            <w:r>
              <w:rPr>
                <w:rFonts w:ascii="Arial" w:hAnsi="Arial" w:cs="Arial"/>
              </w:rPr>
              <w:t xml:space="preserve"> </w:t>
            </w:r>
          </w:p>
          <w:p w:rsidR="001124E8" w:rsidRDefault="00EC3129">
            <w:pPr>
              <w:spacing w:before="40"/>
              <w:ind w:left="0" w:firstLine="0"/>
              <w:jc w:val="right"/>
              <w:rPr>
                <w:rFonts w:ascii="Arial" w:hAnsi="Arial" w:cs="Arial"/>
              </w:rPr>
            </w:pPr>
            <w:r>
              <w:rPr>
                <w:rFonts w:ascii="Arial" w:hAnsi="Arial" w:cs="Arial"/>
                <w:rtl/>
              </w:rPr>
              <w:t>من جودة الترجمة من</w:t>
            </w:r>
            <w:r>
              <w:rPr>
                <w:rFonts w:ascii="Arial" w:hAnsi="Arial" w:cs="Arial"/>
              </w:rPr>
              <w:t xml:space="preserve"> </w:t>
            </w:r>
            <w:r>
              <w:rPr>
                <w:rFonts w:ascii="Arial" w:hAnsi="Arial" w:cs="Arial"/>
                <w:sz w:val="20"/>
                <w:szCs w:val="20"/>
              </w:rPr>
              <w:t>deepl.com!</w:t>
            </w:r>
          </w:p>
        </w:tc>
      </w:tr>
    </w:tbl>
    <w:p w:rsidR="001124E8" w:rsidRDefault="001124E8"/>
    <w:tbl>
      <w:tblPr>
        <w:tblW w:w="9498" w:type="dxa"/>
        <w:tblCellMar>
          <w:left w:w="0" w:type="dxa"/>
          <w:right w:w="0" w:type="dxa"/>
        </w:tblCellMar>
        <w:tblLook w:val="04A0" w:firstRow="1" w:lastRow="0" w:firstColumn="1" w:lastColumn="0" w:noHBand="0" w:noVBand="1"/>
      </w:tblPr>
      <w:tblGrid>
        <w:gridCol w:w="3261"/>
        <w:gridCol w:w="3047"/>
        <w:gridCol w:w="3190"/>
      </w:tblGrid>
      <w:tr w:rsidR="001124E8">
        <w:trPr>
          <w:cantSplit/>
          <w:trHeight w:val="454"/>
        </w:trPr>
        <w:tc>
          <w:tcPr>
            <w:tcW w:w="3261" w:type="dxa"/>
            <w:noWrap/>
            <w:tcMar>
              <w:top w:w="57" w:type="dxa"/>
              <w:left w:w="142" w:type="dxa"/>
              <w:bottom w:w="57" w:type="dxa"/>
              <w:right w:w="142" w:type="dxa"/>
            </w:tcMar>
          </w:tcPr>
          <w:p w:rsidR="001124E8" w:rsidRDefault="00EC3129">
            <w:pPr>
              <w:spacing w:before="40"/>
              <w:ind w:left="0" w:firstLine="0"/>
              <w:rPr>
                <w:rFonts w:ascii="Arial" w:hAnsi="Arial" w:cs="Arial"/>
                <w:sz w:val="20"/>
                <w:szCs w:val="20"/>
              </w:rPr>
            </w:pPr>
            <w:r>
              <w:rPr>
                <w:rFonts w:ascii="Arial" w:hAnsi="Arial" w:cs="Arial"/>
                <w:sz w:val="20"/>
                <w:szCs w:val="20"/>
              </w:rPr>
              <w:t>Quelle: Edwin Baumgartner, Wiener Zeitung, 24.02.2019</w:t>
            </w:r>
          </w:p>
          <w:p w:rsidR="001124E8" w:rsidRDefault="001124E8">
            <w:pPr>
              <w:spacing w:before="40"/>
              <w:ind w:left="0" w:firstLine="0"/>
              <w:rPr>
                <w:rFonts w:ascii="Arial" w:hAnsi="Arial" w:cs="Arial"/>
                <w:sz w:val="20"/>
                <w:szCs w:val="20"/>
                <w:rtl/>
              </w:rPr>
            </w:pPr>
          </w:p>
          <w:p w:rsidR="001124E8" w:rsidRDefault="00EC3129">
            <w:pPr>
              <w:spacing w:before="40"/>
              <w:jc w:val="center"/>
              <w:rPr>
                <w:rFonts w:ascii="Arial" w:hAnsi="Arial" w:cs="Arial"/>
                <w:sz w:val="20"/>
                <w:szCs w:val="20"/>
              </w:rPr>
            </w:pPr>
            <w:r>
              <w:rPr>
                <w:noProof/>
              </w:rPr>
              <w:drawing>
                <wp:inline distT="0" distB="0" distL="0" distR="0">
                  <wp:extent cx="885190" cy="88519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1124E8" w:rsidRDefault="00EC3129">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1124E8" w:rsidRDefault="00EC3129">
            <w:pPr>
              <w:spacing w:before="40"/>
              <w:ind w:left="376" w:hanging="376"/>
              <w:jc w:val="center"/>
              <w:rPr>
                <w:rFonts w:ascii="Arial" w:hAnsi="Arial" w:cs="Arial"/>
                <w:sz w:val="20"/>
                <w:szCs w:val="20"/>
              </w:rPr>
            </w:pPr>
            <w:r>
              <w:rPr>
                <w:noProof/>
              </w:rPr>
              <w:drawing>
                <wp:inline distT="0" distB="0" distL="0" distR="0">
                  <wp:extent cx="892175" cy="906780"/>
                  <wp:effectExtent l="0" t="0" r="3175" b="7620"/>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906780"/>
                          </a:xfrm>
                          <a:prstGeom prst="rect">
                            <a:avLst/>
                          </a:prstGeom>
                          <a:noFill/>
                          <a:ln>
                            <a:noFill/>
                          </a:ln>
                        </pic:spPr>
                      </pic:pic>
                    </a:graphicData>
                  </a:graphic>
                </wp:inline>
              </w:drawing>
            </w:r>
          </w:p>
        </w:tc>
        <w:tc>
          <w:tcPr>
            <w:tcW w:w="3190" w:type="dxa"/>
            <w:hideMark/>
          </w:tcPr>
          <w:p w:rsidR="001124E8" w:rsidRDefault="00EC3129">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1124E8" w:rsidRDefault="00EC3129">
            <w:pPr>
              <w:spacing w:before="40"/>
              <w:ind w:left="376" w:hanging="305"/>
              <w:jc w:val="center"/>
              <w:rPr>
                <w:rFonts w:ascii="Arial" w:hAnsi="Arial" w:cs="Arial"/>
                <w:sz w:val="20"/>
                <w:szCs w:val="20"/>
              </w:rPr>
            </w:pPr>
            <w:r>
              <w:rPr>
                <w:noProof/>
              </w:rPr>
              <w:drawing>
                <wp:inline distT="0" distB="0" distL="0" distR="0">
                  <wp:extent cx="906780" cy="885190"/>
                  <wp:effectExtent l="0" t="0" r="7620"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780" cy="885190"/>
                          </a:xfrm>
                          <a:prstGeom prst="rect">
                            <a:avLst/>
                          </a:prstGeom>
                          <a:noFill/>
                          <a:ln>
                            <a:noFill/>
                          </a:ln>
                        </pic:spPr>
                      </pic:pic>
                    </a:graphicData>
                  </a:graphic>
                </wp:inline>
              </w:drawing>
            </w:r>
          </w:p>
        </w:tc>
      </w:tr>
    </w:tbl>
    <w:p w:rsidR="001124E8" w:rsidRDefault="00EC3129">
      <w:pPr>
        <w:rPr>
          <w:rFonts w:ascii="Arial" w:hAnsi="Arial" w:cs="Arial"/>
          <w:sz w:val="20"/>
          <w:szCs w:val="20"/>
          <w:lang w:val="de-CH"/>
        </w:rPr>
      </w:pPr>
      <w:r>
        <w:rPr>
          <w:rFonts w:ascii="Arial" w:hAnsi="Arial" w:cs="Arial"/>
          <w:sz w:val="20"/>
          <w:szCs w:val="20"/>
          <w:lang w:val="de-CH"/>
        </w:rPr>
        <w:t> </w:t>
      </w:r>
    </w:p>
    <w:p w:rsidR="00C71437" w:rsidRDefault="00C71437" w:rsidP="00C71437">
      <w:pPr>
        <w:rPr>
          <w:rFonts w:ascii="Arial" w:hAnsi="Arial" w:cs="Arial"/>
        </w:rPr>
      </w:pPr>
    </w:p>
    <w:p w:rsidR="00C71437" w:rsidRDefault="00C71437" w:rsidP="00C71437">
      <w:pPr>
        <w:pageBreakBefore/>
        <w:rPr>
          <w:rFonts w:ascii="Arial" w:hAnsi="Arial" w:cs="Arial"/>
        </w:rPr>
      </w:pPr>
      <w:r>
        <w:rPr>
          <w:rFonts w:ascii="Arial" w:hAnsi="Arial" w:cs="Arial"/>
          <w:b/>
          <w:bCs/>
          <w:sz w:val="20"/>
          <w:szCs w:val="20"/>
          <w:lang w:val="de-CH"/>
        </w:rPr>
        <w:lastRenderedPageBreak/>
        <w:t>Tag der Schachtelsätze  – 25. Februar</w:t>
      </w:r>
    </w:p>
    <w:p w:rsidR="00C71437" w:rsidRDefault="00C71437" w:rsidP="00C71437">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C71437" w:rsidTr="00C71437">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C71437" w:rsidRDefault="00C71437"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C71437" w:rsidTr="00C71437">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C71437" w:rsidRDefault="00C71437" w:rsidP="002F6050">
            <w:pPr>
              <w:spacing w:before="40"/>
              <w:ind w:left="4536" w:hanging="4536"/>
              <w:rPr>
                <w:rFonts w:ascii="Arial" w:hAnsi="Arial" w:cs="Arial"/>
                <w:sz w:val="20"/>
                <w:szCs w:val="20"/>
              </w:rPr>
            </w:pPr>
          </w:p>
        </w:tc>
      </w:tr>
      <w:tr w:rsidR="00C71437" w:rsidTr="00C71437">
        <w:trPr>
          <w:cantSplit/>
          <w:trHeight w:val="454"/>
        </w:trPr>
        <w:tc>
          <w:tcPr>
            <w:tcW w:w="9356" w:type="dxa"/>
            <w:tcBorders>
              <w:left w:val="nil"/>
              <w:bottom w:val="nil"/>
              <w:right w:val="nil"/>
            </w:tcBorders>
            <w:noWrap/>
            <w:tcMar>
              <w:top w:w="57" w:type="dxa"/>
              <w:left w:w="142" w:type="dxa"/>
              <w:bottom w:w="57" w:type="dxa"/>
              <w:right w:w="142" w:type="dxa"/>
            </w:tcMar>
          </w:tcPr>
          <w:p w:rsidR="00C71437" w:rsidRDefault="00C71437"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C71437" w:rsidRDefault="00C71437"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C71437" w:rsidRDefault="00C71437" w:rsidP="002F6050">
            <w:pPr>
              <w:ind w:left="567" w:firstLine="0"/>
              <w:rPr>
                <w:rFonts w:ascii="Arial" w:hAnsi="Arial" w:cs="Arial"/>
              </w:rPr>
            </w:pPr>
            <w:r>
              <w:rPr>
                <w:rFonts w:ascii="Arial" w:hAnsi="Arial" w:cs="Arial"/>
              </w:rPr>
              <w:t xml:space="preserve">mit einem anderen deutschen Ausdruck Bandwurmsatz genannt, </w:t>
            </w:r>
          </w:p>
          <w:p w:rsidR="00C71437" w:rsidRDefault="00C71437" w:rsidP="002F6050">
            <w:pPr>
              <w:ind w:left="567" w:firstLine="0"/>
              <w:rPr>
                <w:rFonts w:ascii="Arial" w:hAnsi="Arial" w:cs="Arial"/>
              </w:rPr>
            </w:pPr>
            <w:r>
              <w:rPr>
                <w:rFonts w:ascii="Arial" w:hAnsi="Arial" w:cs="Arial"/>
              </w:rPr>
              <w:t xml:space="preserve">der Schachtelsatz nämlich, </w:t>
            </w:r>
          </w:p>
          <w:p w:rsidR="00C71437" w:rsidRDefault="00C71437"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C71437" w:rsidRDefault="00C71437" w:rsidP="002F6050">
            <w:pPr>
              <w:ind w:left="567" w:firstLine="0"/>
              <w:rPr>
                <w:rFonts w:ascii="Arial" w:hAnsi="Arial" w:cs="Arial"/>
              </w:rPr>
            </w:pPr>
            <w:r>
              <w:rPr>
                <w:rFonts w:ascii="Arial" w:hAnsi="Arial" w:cs="Arial"/>
              </w:rPr>
              <w:t xml:space="preserve">und der, </w:t>
            </w:r>
          </w:p>
          <w:p w:rsidR="00C71437" w:rsidRDefault="00C71437" w:rsidP="002F6050">
            <w:pPr>
              <w:ind w:left="1134" w:firstLine="0"/>
              <w:rPr>
                <w:rFonts w:ascii="Arial" w:hAnsi="Arial" w:cs="Arial"/>
              </w:rPr>
            </w:pPr>
            <w:r>
              <w:rPr>
                <w:noProof/>
              </w:rPr>
              <w:drawing>
                <wp:anchor distT="0" distB="0" distL="114300" distR="114300" simplePos="0" relativeHeight="251660288" behindDoc="1" locked="0" layoutInCell="1" allowOverlap="1" wp14:anchorId="6B991F8A" wp14:editId="6C5BE27F">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C71437" w:rsidRDefault="00C71437" w:rsidP="002F6050">
            <w:pPr>
              <w:ind w:left="567" w:firstLine="0"/>
              <w:rPr>
                <w:rFonts w:ascii="Arial" w:hAnsi="Arial" w:cs="Arial"/>
              </w:rPr>
            </w:pPr>
            <w:r>
              <w:rPr>
                <w:rFonts w:ascii="Arial" w:hAnsi="Arial" w:cs="Arial"/>
              </w:rPr>
              <w:t xml:space="preserve">auf Griechisch Hypotaxe heißt, </w:t>
            </w:r>
          </w:p>
          <w:p w:rsidR="00C71437" w:rsidRDefault="00C71437" w:rsidP="002F6050">
            <w:pPr>
              <w:ind w:left="0" w:firstLine="0"/>
              <w:rPr>
                <w:rFonts w:ascii="Arial" w:hAnsi="Arial" w:cs="Arial"/>
              </w:rPr>
            </w:pPr>
          </w:p>
          <w:p w:rsidR="00C71437" w:rsidRDefault="00C71437"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C71437" w:rsidRDefault="00C71437"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C71437" w:rsidRDefault="00C71437"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C71437" w:rsidRDefault="00C71437" w:rsidP="002F6050">
            <w:pPr>
              <w:ind w:left="1701" w:firstLine="0"/>
              <w:rPr>
                <w:rFonts w:ascii="Arial" w:hAnsi="Arial" w:cs="Arial"/>
              </w:rPr>
            </w:pPr>
            <w:r>
              <w:rPr>
                <w:rFonts w:ascii="Arial" w:hAnsi="Arial" w:cs="Arial"/>
              </w:rPr>
              <w:t xml:space="preserve">ein russischer Maler und Architekt, </w:t>
            </w:r>
          </w:p>
          <w:p w:rsidR="00C71437" w:rsidRDefault="00C71437" w:rsidP="002F6050">
            <w:pPr>
              <w:ind w:left="1134" w:firstLine="0"/>
              <w:rPr>
                <w:rFonts w:ascii="Arial" w:hAnsi="Arial" w:cs="Arial"/>
              </w:rPr>
            </w:pPr>
            <w:r>
              <w:rPr>
                <w:rFonts w:ascii="Arial" w:hAnsi="Arial" w:cs="Arial"/>
              </w:rPr>
              <w:t xml:space="preserve">1890 nach einem japanischen Vorbild gestaltet hat, </w:t>
            </w:r>
          </w:p>
          <w:p w:rsidR="00C71437" w:rsidRDefault="00C71437"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C71437" w:rsidRDefault="00C71437" w:rsidP="002F6050">
            <w:pPr>
              <w:ind w:left="1134" w:firstLine="0"/>
              <w:rPr>
                <w:rFonts w:ascii="Arial" w:hAnsi="Arial" w:cs="Arial"/>
              </w:rPr>
            </w:pPr>
            <w:r>
              <w:rPr>
                <w:rFonts w:ascii="Arial" w:hAnsi="Arial" w:cs="Arial"/>
              </w:rPr>
              <w:t xml:space="preserve">bei denen eine in der anderen steckt und </w:t>
            </w:r>
          </w:p>
          <w:p w:rsidR="00C71437" w:rsidRDefault="00C71437"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C71437" w:rsidRDefault="00C71437"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C71437" w:rsidRDefault="00C71437" w:rsidP="002F6050">
            <w:pPr>
              <w:ind w:left="2268" w:firstLine="0"/>
              <w:rPr>
                <w:rFonts w:ascii="Arial" w:hAnsi="Arial" w:cs="Arial"/>
              </w:rPr>
            </w:pPr>
            <w:r>
              <w:rPr>
                <w:rFonts w:ascii="Arial" w:hAnsi="Arial" w:cs="Arial"/>
              </w:rPr>
              <w:t xml:space="preserve">was sonst sie aus Russland mitbringen könnten, </w:t>
            </w:r>
          </w:p>
          <w:p w:rsidR="00C71437" w:rsidRDefault="00C71437" w:rsidP="002F6050">
            <w:pPr>
              <w:ind w:left="1134" w:firstLine="0"/>
              <w:rPr>
                <w:rFonts w:ascii="Arial" w:hAnsi="Arial" w:cs="Arial"/>
              </w:rPr>
            </w:pPr>
            <w:r>
              <w:rPr>
                <w:rFonts w:ascii="Arial" w:hAnsi="Arial" w:cs="Arial"/>
              </w:rPr>
              <w:t xml:space="preserve">was Aussicht hat, </w:t>
            </w:r>
          </w:p>
          <w:p w:rsidR="00C71437" w:rsidRDefault="00C71437"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C71437" w:rsidRDefault="00C71437" w:rsidP="002F6050">
            <w:pPr>
              <w:ind w:left="2268" w:firstLine="0"/>
              <w:rPr>
                <w:rFonts w:ascii="Arial" w:hAnsi="Arial" w:cs="Arial"/>
              </w:rPr>
            </w:pPr>
            <w:r>
              <w:rPr>
                <w:rFonts w:ascii="Arial" w:hAnsi="Arial" w:cs="Arial"/>
              </w:rPr>
              <w:t xml:space="preserve">der aus Getreide hergestellt und </w:t>
            </w:r>
          </w:p>
          <w:p w:rsidR="00C71437" w:rsidRDefault="00C71437" w:rsidP="002F6050">
            <w:pPr>
              <w:ind w:left="2268" w:firstLine="0"/>
              <w:rPr>
                <w:rFonts w:ascii="Arial" w:hAnsi="Arial" w:cs="Arial"/>
              </w:rPr>
            </w:pPr>
            <w:r>
              <w:rPr>
                <w:rFonts w:ascii="Arial" w:hAnsi="Arial" w:cs="Arial"/>
              </w:rPr>
              <w:t xml:space="preserve">Wodka genannt wird, </w:t>
            </w:r>
          </w:p>
          <w:p w:rsidR="00C71437" w:rsidRDefault="00C71437" w:rsidP="002F6050">
            <w:pPr>
              <w:ind w:left="2835" w:firstLine="0"/>
              <w:rPr>
                <w:rFonts w:ascii="Arial" w:hAnsi="Arial" w:cs="Arial"/>
              </w:rPr>
            </w:pPr>
            <w:r>
              <w:rPr>
                <w:rFonts w:ascii="Arial" w:hAnsi="Arial" w:cs="Arial"/>
              </w:rPr>
              <w:t xml:space="preserve">was, </w:t>
            </w:r>
          </w:p>
          <w:p w:rsidR="00C71437" w:rsidRDefault="00C71437" w:rsidP="002F6050">
            <w:pPr>
              <w:ind w:left="3402" w:firstLine="0"/>
              <w:rPr>
                <w:rFonts w:ascii="Arial" w:hAnsi="Arial" w:cs="Arial"/>
              </w:rPr>
            </w:pPr>
            <w:r>
              <w:rPr>
                <w:rFonts w:ascii="Arial" w:hAnsi="Arial" w:cs="Arial"/>
              </w:rPr>
              <w:t xml:space="preserve">übersetzt, </w:t>
            </w:r>
          </w:p>
          <w:p w:rsidR="00C71437" w:rsidRDefault="00C71437" w:rsidP="002F6050">
            <w:pPr>
              <w:ind w:left="2835" w:firstLine="0"/>
              <w:rPr>
                <w:rFonts w:ascii="Arial" w:hAnsi="Arial" w:cs="Arial"/>
              </w:rPr>
            </w:pPr>
            <w:r>
              <w:rPr>
                <w:rFonts w:ascii="Arial" w:hAnsi="Arial" w:cs="Arial"/>
              </w:rPr>
              <w:t xml:space="preserve">"Wässerchen" bedeutet, </w:t>
            </w:r>
          </w:p>
          <w:p w:rsidR="00C71437" w:rsidRDefault="00C71437"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C71437" w:rsidRDefault="00C71437" w:rsidP="002F6050">
            <w:pPr>
              <w:ind w:left="2835" w:firstLine="0"/>
              <w:rPr>
                <w:rFonts w:ascii="Arial" w:hAnsi="Arial" w:cs="Arial"/>
              </w:rPr>
            </w:pPr>
            <w:r>
              <w:rPr>
                <w:rFonts w:ascii="Arial" w:hAnsi="Arial" w:cs="Arial"/>
              </w:rPr>
              <w:t xml:space="preserve">sofern dieser in wetterbedingte Turbulenzen gerät, </w:t>
            </w:r>
          </w:p>
          <w:p w:rsidR="00C71437" w:rsidRDefault="00C71437" w:rsidP="002F6050">
            <w:pPr>
              <w:ind w:left="2268" w:firstLine="0"/>
              <w:rPr>
                <w:rFonts w:ascii="Arial" w:hAnsi="Arial" w:cs="Arial"/>
              </w:rPr>
            </w:pPr>
            <w:r>
              <w:rPr>
                <w:rFonts w:ascii="Arial" w:hAnsi="Arial" w:cs="Arial"/>
              </w:rPr>
              <w:t xml:space="preserve">oder dann auf dem Flughafen ausgetrunken wird, </w:t>
            </w:r>
          </w:p>
          <w:p w:rsidR="00C71437" w:rsidRDefault="00C71437"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C71437" w:rsidRDefault="00C71437"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C71437" w:rsidRDefault="00C71437" w:rsidP="002F6050">
            <w:pPr>
              <w:ind w:left="3402" w:firstLine="0"/>
              <w:rPr>
                <w:rFonts w:ascii="Arial" w:hAnsi="Arial" w:cs="Arial"/>
              </w:rPr>
            </w:pPr>
            <w:r>
              <w:rPr>
                <w:rFonts w:ascii="Arial" w:hAnsi="Arial" w:cs="Arial"/>
              </w:rPr>
              <w:t xml:space="preserve">wenn das zuständige Personal unachtsam gewesen ist oder </w:t>
            </w:r>
          </w:p>
          <w:p w:rsidR="00C71437" w:rsidRDefault="00C71437" w:rsidP="002F6050">
            <w:pPr>
              <w:ind w:left="3402" w:firstLine="0"/>
              <w:rPr>
                <w:rFonts w:ascii="Arial" w:hAnsi="Arial" w:cs="Arial"/>
              </w:rPr>
            </w:pPr>
            <w:r>
              <w:rPr>
                <w:rFonts w:ascii="Arial" w:hAnsi="Arial" w:cs="Arial"/>
              </w:rPr>
              <w:t xml:space="preserve">die Aufkleber falsch gelesen hat, </w:t>
            </w:r>
          </w:p>
          <w:p w:rsidR="00C71437" w:rsidRDefault="00C71437" w:rsidP="002F6050">
            <w:pPr>
              <w:ind w:left="2268" w:firstLine="0"/>
              <w:rPr>
                <w:rFonts w:ascii="Arial" w:hAnsi="Arial" w:cs="Arial"/>
              </w:rPr>
            </w:pPr>
            <w:r>
              <w:rPr>
                <w:rFonts w:ascii="Arial" w:hAnsi="Arial" w:cs="Arial"/>
              </w:rPr>
              <w:t xml:space="preserve">verloren gegangen ist, </w:t>
            </w:r>
          </w:p>
          <w:p w:rsidR="00C71437" w:rsidRDefault="00C71437" w:rsidP="002F6050">
            <w:pPr>
              <w:ind w:left="0" w:firstLine="0"/>
              <w:rPr>
                <w:rFonts w:ascii="Arial" w:hAnsi="Arial" w:cs="Arial"/>
              </w:rPr>
            </w:pPr>
          </w:p>
          <w:p w:rsidR="00C71437" w:rsidRDefault="00C71437" w:rsidP="002F6050">
            <w:pPr>
              <w:ind w:left="0" w:firstLine="0"/>
              <w:rPr>
                <w:rFonts w:ascii="Arial" w:hAnsi="Arial" w:cs="Arial"/>
              </w:rPr>
            </w:pPr>
            <w:r>
              <w:rPr>
                <w:rFonts w:ascii="Arial" w:hAnsi="Arial" w:cs="Arial"/>
              </w:rPr>
              <w:t xml:space="preserve">kann unter Umständen so kompliziert sein, </w:t>
            </w:r>
          </w:p>
          <w:p w:rsidR="00C71437" w:rsidRDefault="00C71437"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C71437" w:rsidRDefault="00C71437" w:rsidP="002F6050">
            <w:pPr>
              <w:ind w:left="1134" w:firstLine="0"/>
              <w:rPr>
                <w:rFonts w:ascii="Arial" w:hAnsi="Arial" w:cs="Arial"/>
                <w:sz w:val="20"/>
                <w:szCs w:val="20"/>
              </w:rPr>
            </w:pPr>
            <w:r>
              <w:rPr>
                <w:rFonts w:ascii="Arial" w:hAnsi="Arial" w:cs="Arial"/>
              </w:rPr>
              <w:t>um durch die Reihen von Wörtern und Sätzen durchzufinden.</w:t>
            </w:r>
          </w:p>
        </w:tc>
      </w:tr>
    </w:tbl>
    <w:p w:rsidR="00C71437" w:rsidRDefault="00C71437" w:rsidP="00C71437">
      <w:pPr>
        <w:rPr>
          <w:rFonts w:ascii="Arial" w:hAnsi="Arial" w:cs="Arial"/>
        </w:rPr>
      </w:pPr>
      <w:r>
        <w:rPr>
          <w:noProof/>
        </w:rPr>
        <w:drawing>
          <wp:anchor distT="0" distB="0" distL="114300" distR="114300" simplePos="0" relativeHeight="251659264" behindDoc="0" locked="0" layoutInCell="1" allowOverlap="1" wp14:anchorId="1C0D1B99" wp14:editId="3DE880FE">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C71437" w:rsidRDefault="00C71437" w:rsidP="00C71437">
      <w:pPr>
        <w:rPr>
          <w:rFonts w:ascii="Arial" w:hAnsi="Arial" w:cs="Arial"/>
        </w:rPr>
      </w:pPr>
    </w:p>
    <w:sectPr w:rsidR="00C71437" w:rsidSect="00C71437">
      <w:footerReference w:type="default" r:id="rId1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7ED" w:rsidRDefault="009917ED" w:rsidP="00C71437">
      <w:r>
        <w:separator/>
      </w:r>
    </w:p>
  </w:endnote>
  <w:endnote w:type="continuationSeparator" w:id="0">
    <w:p w:rsidR="009917ED" w:rsidRDefault="009917ED" w:rsidP="00C7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37" w:rsidRPr="00C71437" w:rsidRDefault="009917ED">
    <w:pPr>
      <w:pStyle w:val="Fuzeile"/>
      <w:rPr>
        <w:rFonts w:ascii="Arial" w:hAnsi="Arial" w:cs="Arial"/>
        <w:sz w:val="16"/>
        <w:szCs w:val="16"/>
      </w:rPr>
    </w:pPr>
    <w:hyperlink r:id="rId1" w:tgtFrame="_blank" w:history="1">
      <w:r w:rsidR="00C71437">
        <w:rPr>
          <w:rStyle w:val="Hyperlink"/>
          <w:rFonts w:ascii="Arial" w:hAnsi="Arial" w:cs="Arial"/>
          <w:sz w:val="16"/>
          <w:szCs w:val="16"/>
        </w:rPr>
        <w:t>https://kleine-deutsch-hilfe.at/SCH01_AR.htm</w:t>
      </w:r>
    </w:hyperlink>
    <w:r w:rsidR="00C71437" w:rsidRPr="00C71437">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7ED" w:rsidRDefault="009917ED" w:rsidP="00C71437">
      <w:r>
        <w:separator/>
      </w:r>
    </w:p>
  </w:footnote>
  <w:footnote w:type="continuationSeparator" w:id="0">
    <w:p w:rsidR="009917ED" w:rsidRDefault="009917ED" w:rsidP="00C71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BC"/>
    <w:rsid w:val="0004062B"/>
    <w:rsid w:val="001124E8"/>
    <w:rsid w:val="00567DBC"/>
    <w:rsid w:val="00693E04"/>
    <w:rsid w:val="008C3BDE"/>
    <w:rsid w:val="009917ED"/>
    <w:rsid w:val="00C71437"/>
    <w:rsid w:val="00EC3129"/>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84B3F-49F9-4228-BD77-6697685B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C71437"/>
    <w:pPr>
      <w:tabs>
        <w:tab w:val="center" w:pos="4536"/>
        <w:tab w:val="right" w:pos="9072"/>
      </w:tabs>
    </w:pPr>
  </w:style>
  <w:style w:type="character" w:customStyle="1" w:styleId="KopfzeileZchn">
    <w:name w:val="Kopfzeile Zchn"/>
    <w:basedOn w:val="Absatz-Standardschriftart"/>
    <w:link w:val="Kopfzeile"/>
    <w:uiPriority w:val="99"/>
    <w:rsid w:val="00C71437"/>
    <w:rPr>
      <w:rFonts w:ascii="Arial Unicode MS" w:eastAsia="Arial Unicode MS" w:hAnsi="Arial Unicode MS" w:cs="Arial Unicode MS"/>
    </w:rPr>
  </w:style>
  <w:style w:type="paragraph" w:styleId="Fuzeile">
    <w:name w:val="footer"/>
    <w:basedOn w:val="Standard"/>
    <w:link w:val="FuzeileZchn"/>
    <w:uiPriority w:val="99"/>
    <w:unhideWhenUsed/>
    <w:rsid w:val="00C71437"/>
    <w:pPr>
      <w:tabs>
        <w:tab w:val="center" w:pos="4536"/>
        <w:tab w:val="right" w:pos="9072"/>
      </w:tabs>
    </w:pPr>
  </w:style>
  <w:style w:type="character" w:customStyle="1" w:styleId="FuzeileZchn">
    <w:name w:val="Fußzeile Zchn"/>
    <w:basedOn w:val="Absatz-Standardschriftart"/>
    <w:link w:val="Fuzeile"/>
    <w:uiPriority w:val="99"/>
    <w:rsid w:val="00C71437"/>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2026-02-27T07:59:00Z</cp:lastPrinted>
  <dcterms:created xsi:type="dcterms:W3CDTF">2026-02-26T16:56:00Z</dcterms:created>
  <dcterms:modified xsi:type="dcterms:W3CDTF">2026-02-27T07:59:00Z</dcterms:modified>
</cp:coreProperties>
</file>