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4E" w:rsidRDefault="009D3D59">
      <w:bookmarkStart w:id="0" w:name="_top"/>
      <w:bookmarkEnd w:id="0"/>
      <w:r>
        <w:rPr>
          <w:b/>
          <w:bCs/>
        </w:rPr>
        <w:t>(BPV00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9C304E" w:rsidRDefault="009D3D59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9C304E" w:rsidTr="00536176">
        <w:trPr>
          <w:cantSplit/>
        </w:trPr>
        <w:tc>
          <w:tcPr>
            <w:tcW w:w="5103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C304E" w:rsidRDefault="009D3D59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Pensionsversicherung 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C304E" w:rsidRDefault="009D3D59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المهنة: تأمين التقاعد</w:t>
            </w:r>
          </w:p>
        </w:tc>
      </w:tr>
    </w:tbl>
    <w:p w:rsidR="009C304E" w:rsidRDefault="009C304E"/>
    <w:p w:rsidR="009C304E" w:rsidRDefault="009D3D59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In Österreich ist es gesetzlich vorgegeben, aus dem Einkommen des Erwerbs (angestellt oder selbstständig) Beiträge zur Pensionsversicherung zu leisten.</w:t>
            </w:r>
          </w:p>
          <w:p w:rsidR="009C304E" w:rsidRDefault="009D3D59">
            <w:r>
              <w:rPr>
                <w:sz w:val="24"/>
                <w:szCs w:val="24"/>
              </w:rPr>
              <w:t>Damit bezahlt man die eigene soziale Absicherung für das Alter.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النمسا ، يُطلب بموجب القانون دفع مساهمات في نظام تأمين المعاشات التقاعدية من الدخل المكتسب (العاملين أو العاملين لحسابهم الخاص)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هذه هي الطريقة التي تدفع بها مقابل الضمان الاجتماعي الخاص بك عن الشيخوخة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Die Altersgrenze für die reguläre Pension ist derzeit allgemein das 65. Lebensjahr.</w:t>
            </w:r>
          </w:p>
          <w:p w:rsidR="009C304E" w:rsidRDefault="009D3D59">
            <w:r>
              <w:rPr>
                <w:sz w:val="24"/>
                <w:szCs w:val="24"/>
              </w:rPr>
              <w:t xml:space="preserve">Bei speziellen Umständen kann ein früherer Pensionsantritt mit besonderen Bedingungen gewährt werden.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الحد الأدنى لسن المعاشات العادية هو 65 عامًا حاليًا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ظروف خاصة ، يمكن منح التقاعد المبكر بشروط خاصة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Man kann dies als einen Generationenvertrag ansehen.</w:t>
            </w:r>
          </w:p>
          <w:p w:rsidR="009C304E" w:rsidRDefault="009D3D59">
            <w:r>
              <w:rPr>
                <w:sz w:val="24"/>
                <w:szCs w:val="24"/>
              </w:rPr>
              <w:t xml:space="preserve">Die Beiträge der Arbeitenden, Jüngeren, ist das Kapital, das an die Pensionisten, Älteren, ausbezahlt wird. </w:t>
            </w:r>
          </w:p>
          <w:p w:rsidR="009C304E" w:rsidRDefault="009D3D59">
            <w:r>
              <w:rPr>
                <w:sz w:val="24"/>
                <w:szCs w:val="24"/>
              </w:rPr>
              <w:t>Zusätzlich stützt der Staat dieses System aus den Steuereinnahmen.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يمكنك أن ترى هذا على أنه عقد جيل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مساهمات الشباب العامل هي رأس المال الذي يصرف لأصحاب المعاشات وكبار السن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بالإضافة إلى ذلك ، تدعم الدولة هذا النظام من عائدات الضرائب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 xml:space="preserve">Für </w:t>
            </w:r>
            <w:r>
              <w:rPr>
                <w:b/>
                <w:bCs/>
                <w:sz w:val="24"/>
                <w:szCs w:val="24"/>
              </w:rPr>
              <w:t>Angestellte</w:t>
            </w:r>
            <w:r>
              <w:rPr>
                <w:sz w:val="24"/>
                <w:szCs w:val="24"/>
              </w:rPr>
              <w:t xml:space="preserve"> berechnet das Lohnbüro den Pensionsbeitrag und zieht sie </w:t>
            </w:r>
            <w:r>
              <w:rPr>
                <w:sz w:val="24"/>
                <w:szCs w:val="24"/>
                <w:u w:val="single"/>
              </w:rPr>
              <w:t>vor</w:t>
            </w:r>
            <w:r>
              <w:rPr>
                <w:sz w:val="24"/>
                <w:szCs w:val="24"/>
              </w:rPr>
              <w:t xml:space="preserve"> der Auszahlung vom Bruttolohn ab.</w:t>
            </w:r>
          </w:p>
          <w:p w:rsidR="009C304E" w:rsidRDefault="009D3D59">
            <w:r>
              <w:rPr>
                <w:b/>
                <w:bCs/>
                <w:sz w:val="24"/>
                <w:szCs w:val="24"/>
              </w:rPr>
              <w:t>Selbstständig</w:t>
            </w:r>
            <w:r>
              <w:rPr>
                <w:sz w:val="24"/>
                <w:szCs w:val="24"/>
              </w:rPr>
              <w:t xml:space="preserve"> Arbeitende müssen Erklärungen abgeben und die Bezahlung durchführen.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بالنسبة للموظفين ، يقوم مكتب الرواتب باحتساب مساهمة المعاش ويخصمها من الراتب الإجمالي قبل السداد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يجب على العاملين لحسابهم الخاص تقديم الإقرارات والقيام بالدفع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Die Höhe der lebenslag gewährten Pensionszahlung richtet sich hauptsächlich nach diesen Faktoren:</w:t>
            </w:r>
          </w:p>
          <w:p w:rsidR="009C304E" w:rsidRDefault="009D3D59">
            <w:r>
              <w:rPr>
                <w:sz w:val="24"/>
                <w:szCs w:val="24"/>
              </w:rPr>
              <w:t>#  Anzahl der geleisteten Beitragsmonate;</w:t>
            </w:r>
          </w:p>
          <w:p w:rsidR="009C304E" w:rsidRDefault="009D3D59">
            <w:r>
              <w:rPr>
                <w:sz w:val="24"/>
                <w:szCs w:val="24"/>
              </w:rPr>
              <w:t>#  Höhe des Einkommens während der Jahre vor dem Pensionsantritt.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يعتمد مبلغ المعاش التقاعدي مدى الحياة بشكل أساسي على هذه العوامل</w:t>
            </w:r>
            <w:r>
              <w:rPr>
                <w:sz w:val="28"/>
                <w:szCs w:val="28"/>
              </w:rPr>
              <w:t>:</w:t>
            </w:r>
          </w:p>
          <w:p w:rsidR="009C304E" w:rsidRDefault="009D3D59">
            <w:pPr>
              <w:ind w:right="200"/>
              <w:jc w:val="right"/>
            </w:pPr>
            <w:r>
              <w:rPr>
                <w:sz w:val="28"/>
                <w:szCs w:val="28"/>
              </w:rPr>
              <w:t xml:space="preserve"># </w:t>
            </w:r>
            <w:r>
              <w:rPr>
                <w:rFonts w:hint="cs"/>
                <w:sz w:val="28"/>
                <w:szCs w:val="28"/>
                <w:rtl/>
              </w:rPr>
              <w:t>عدد شهور الاشتراكات المقدمة ؛</w:t>
            </w:r>
          </w:p>
          <w:p w:rsidR="009C304E" w:rsidRDefault="009D3D59">
            <w:pPr>
              <w:ind w:right="200"/>
              <w:jc w:val="right"/>
            </w:pPr>
            <w:r>
              <w:rPr>
                <w:sz w:val="28"/>
                <w:szCs w:val="28"/>
              </w:rPr>
              <w:t xml:space="preserve"># </w:t>
            </w:r>
            <w:r>
              <w:rPr>
                <w:rFonts w:hint="cs"/>
                <w:sz w:val="28"/>
                <w:szCs w:val="28"/>
                <w:rtl/>
              </w:rPr>
              <w:t>مقدار الدخل خلال السنوات السابقة للتقاعد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Es gibt ein gesetzlich vorgegebenes Minimum an Beitragsmonaten, unter dem keine Pension möglich ist.</w:t>
            </w:r>
          </w:p>
          <w:p w:rsidR="009C304E" w:rsidRDefault="009D3D59">
            <w:r>
              <w:rPr>
                <w:sz w:val="24"/>
                <w:szCs w:val="24"/>
              </w:rPr>
              <w:t xml:space="preserve">Es können Ersatzzeiten begrenzt anerkannt werden,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zB</w:t>
            </w:r>
            <w:proofErr w:type="spellEnd"/>
            <w:r>
              <w:rPr>
                <w:sz w:val="24"/>
                <w:szCs w:val="24"/>
              </w:rPr>
              <w:t xml:space="preserve"> Schulzeiten, Studium, Militär– oder Zivildienst.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هناك حد أدنى قانوني لأشهر الاشتراك التي لا يمكن الحصول على معاش تقاعدي دونها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يمكن التعرف على الأوقات البديلة إلى حد محدود ،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على سبيل المثال أيام الدراسة أو الدراسات أو الخدمة العسكرية أو المدنية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Hat man nicht nur in Österreich, sondern auch im Ausland gearbeitet, so kann man sich dort bezahlte Pensionsbeiträge in Österreich anrechnen lassen.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إذا لم تكن قد عملت في النمسا فحسب ، بل في الخارج أيضًا ، فيمكن أن تؤخذ مساهمات المعاشات التقاعدية هناك في الاعتبار في النمسا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lastRenderedPageBreak/>
              <w:t>Man kann Beitragsmonate nachkaufen.</w:t>
            </w:r>
          </w:p>
          <w:p w:rsidR="009C304E" w:rsidRDefault="009D3D59">
            <w:r>
              <w:rPr>
                <w:sz w:val="24"/>
                <w:szCs w:val="24"/>
              </w:rPr>
              <w:t>Und man kann freiwillig für eine Höherversicherung einzahlen.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يمكنك شراء أشهر اشتراك إضافية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ويمكنك أن تدفع طوعا مقابل التأمين التكميلي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Damit werden Grunderfordernisse abgedeckt.</w:t>
            </w:r>
          </w:p>
          <w:p w:rsidR="009C304E" w:rsidRDefault="009D3D59">
            <w:r>
              <w:rPr>
                <w:sz w:val="24"/>
                <w:szCs w:val="24"/>
              </w:rPr>
              <w:t>Unabhängig davon bieten private Firmen Verträge zum Ansparen und zur Kapitalbildung an.</w:t>
            </w:r>
          </w:p>
          <w:p w:rsidR="009C304E" w:rsidRDefault="009D3D59">
            <w:r>
              <w:rPr>
                <w:sz w:val="24"/>
                <w:szCs w:val="24"/>
              </w:rPr>
              <w:t>Diese Verträge muß man selber abschließen und deren Prämien zusätzlich bezahlen.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هذا يغطي الاحتياجات الأساسية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بصرف النظر عن هذا ، تقدم الشركات الخاصة عقود الادخار وتكوين رأس المال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عليك إبرام هذه العقود بنفسك ودفع أقساطها بالإضافة إلى ذلك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8"/>
                <w:szCs w:val="28"/>
              </w:rPr>
              <w:t xml:space="preserve">Aber </w:t>
            </w:r>
            <w:r>
              <w:rPr>
                <w:b/>
                <w:bCs/>
                <w:sz w:val="28"/>
                <w:szCs w:val="28"/>
              </w:rPr>
              <w:t>ACHTUNG</w:t>
            </w:r>
            <w:r>
              <w:rPr>
                <w:sz w:val="28"/>
                <w:szCs w:val="28"/>
              </w:rPr>
              <w:t>: Vorsicht, kritisches Nachfragen und neutrale Beratung ersparen Verlust und Schaden durch Betrug!</w:t>
            </w:r>
          </w:p>
          <w:p w:rsidR="009C304E" w:rsidRDefault="009D3D59">
            <w:r>
              <w:rPr>
                <w:b/>
                <w:bCs/>
                <w:sz w:val="28"/>
                <w:szCs w:val="28"/>
              </w:rPr>
              <w:t>BEACHTE</w:t>
            </w:r>
            <w:r>
              <w:rPr>
                <w:sz w:val="28"/>
                <w:szCs w:val="28"/>
              </w:rPr>
              <w:t>, daß die Entwicklungen bei den sehr langen Laufzeiten kaum überblickbar sind!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لكن تنبيه: الحذر والأسئلة الحرجة والنصائح المحايدة تنقذ الخسارة والأضرار من خلال الاحتيال</w:t>
            </w:r>
            <w:r>
              <w:rPr>
                <w:sz w:val="28"/>
                <w:szCs w:val="28"/>
              </w:rPr>
              <w:t>!</w:t>
            </w:r>
          </w:p>
          <w:p w:rsidR="009C304E" w:rsidRDefault="009D3D59">
            <w:pPr>
              <w:ind w:right="200"/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لاحظ أن التطورات ذات آجال الاستحقاق الطويلة جدًا يصعب إدارتها</w:t>
            </w:r>
            <w:r>
              <w:rPr>
                <w:sz w:val="28"/>
                <w:szCs w:val="28"/>
              </w:rPr>
              <w:t>!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 xml:space="preserve">Für die gesetzlichen Sozialversicherungen ist das </w:t>
            </w:r>
            <w:hyperlink r:id="rId7" w:tgtFrame="_blank" w:history="1">
              <w:r>
                <w:rPr>
                  <w:rStyle w:val="Hyperlink"/>
                  <w:sz w:val="24"/>
                  <w:szCs w:val="24"/>
                </w:rPr>
                <w:t>Bundesministerium für Soziales</w:t>
              </w:r>
            </w:hyperlink>
            <w:r>
              <w:rPr>
                <w:sz w:val="24"/>
                <w:szCs w:val="24"/>
              </w:rPr>
              <w:t xml:space="preserve"> und Gesundheit zuständig. –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"https://www.sozialministerium.at/Ministerium/Kontakt.html" \t "_</w:instrText>
            </w:r>
            <w:r w:rsidR="001C2DE4">
              <w:rPr>
                <w:rStyle w:val="Hyperlink"/>
                <w:sz w:val="24"/>
                <w:szCs w:val="24"/>
              </w:rPr>
              <w:instrText xml:space="preserve">blank" \o "Anfragen an die Servicestelle"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Bürgerservice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–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"https://broschuerenservice.sozialministerium.at/" \t "_blank" \o "Informationsangebot aus dem Sozial- und Gesundheitsbereich"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proofErr w:type="spellStart"/>
            <w:r>
              <w:rPr>
                <w:rStyle w:val="Hyperlink"/>
                <w:sz w:val="24"/>
                <w:szCs w:val="24"/>
              </w:rPr>
              <w:t>Broschürenservice</w:t>
            </w:r>
            <w:proofErr w:type="spellEnd"/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الوزارة الاتحادية للشؤون الاجتماعية والصحة هي المسؤولة عن التأمين الاجتماعي القانوني. - خدمة المواطن - خدمة البروشور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 xml:space="preserve">Die Leistungen führen die Österreichische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"https://www.pv.at/cdscontent/?contentid=10007.707767&amp;portal=pvaportal" \t "_blank" \o "PVAng - Angestellten, Kontakte"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Pensionsversicherungsanstalt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  und die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"https://www.svs.at/cdscontent/?contentid=10007.846416&amp;portal=svsportal" </w:instrText>
            </w:r>
            <w:r w:rsidR="001C2DE4">
              <w:rPr>
                <w:rStyle w:val="Hyperlink"/>
                <w:sz w:val="24"/>
                <w:szCs w:val="24"/>
              </w:rPr>
              <w:instrText xml:space="preserve">\t "_blank" \o "SVS - Selbstständige"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Sozialversicherung der Selbstständigen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aus. </w:t>
            </w:r>
          </w:p>
          <w:p w:rsidR="009C304E" w:rsidRDefault="009D3D59">
            <w:r>
              <w:rPr>
                <w:sz w:val="24"/>
                <w:szCs w:val="24"/>
              </w:rPr>
              <w:t> </w:t>
            </w:r>
          </w:p>
          <w:p w:rsidR="009C304E" w:rsidRDefault="009D3D59">
            <w:r>
              <w:rPr>
                <w:sz w:val="24"/>
                <w:szCs w:val="24"/>
              </w:rPr>
              <w:t xml:space="preserve">Siehe dazu auch im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"https://de.wikipedia.org/wiki/Krankenversicherung_in_%C3%96sterreich" \t "_blank"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Wikipedia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يتم تنفيذ المزايا من قبل مؤسسة تأمين التقاعد النمساوية والتأمين الاجتماعي للعاملين لحسابهم الخاص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انظر أيضا ويكيبيديا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04E" w:rsidTr="00536176">
        <w:trPr>
          <w:cantSplit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r>
              <w:rPr>
                <w:sz w:val="24"/>
                <w:szCs w:val="24"/>
              </w:rPr>
              <w:t>Eine erste und einfache Möglichkeit, sich ohne großen Aufwand zu informieren, bietet der Betriebsrat in der Firma.</w:t>
            </w:r>
          </w:p>
          <w:p w:rsidR="009C304E" w:rsidRDefault="009D3D59">
            <w:r>
              <w:rPr>
                <w:sz w:val="24"/>
                <w:szCs w:val="24"/>
              </w:rPr>
              <w:t xml:space="preserve">Außerdem stehen noch die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"https://tirol.arbeiterkam</w:instrText>
            </w:r>
            <w:r w:rsidR="001C2DE4">
              <w:rPr>
                <w:rStyle w:val="Hyperlink"/>
                <w:sz w:val="24"/>
                <w:szCs w:val="24"/>
              </w:rPr>
              <w:instrText xml:space="preserve">mer.at/beratung/arbeitundrecht/index.html" \t "_blank"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Arbeiterkammer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und die </w:t>
            </w:r>
            <w:r w:rsidR="001C2DE4">
              <w:rPr>
                <w:rStyle w:val="Hyperlink"/>
                <w:sz w:val="24"/>
                <w:szCs w:val="24"/>
              </w:rPr>
              <w:fldChar w:fldCharType="begin"/>
            </w:r>
            <w:r w:rsidR="001C2DE4">
              <w:rPr>
                <w:rStyle w:val="Hyperlink"/>
                <w:sz w:val="24"/>
                <w:szCs w:val="24"/>
              </w:rPr>
              <w:instrText xml:space="preserve"> HYPERLINK "https://www.gpa.at/die-gpa" \t "_blank" \o "GPA - Gewerkschaft der Privatangestellten" </w:instrText>
            </w:r>
            <w:r w:rsidR="006C6C73">
              <w:rPr>
                <w:rStyle w:val="Hyperlink"/>
                <w:sz w:val="24"/>
                <w:szCs w:val="24"/>
              </w:rPr>
            </w:r>
            <w:r w:rsidR="001C2DE4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Gewerkschaft</w:t>
            </w:r>
            <w:r w:rsidR="001C2DE4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mit vielen Services zur Verfügung.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يقدم مجلس العمل في الشركة طريقة أولى وبسيطة لمعرفة المزيد من المعلومات دون بذل الكثير من الجهد</w:t>
            </w:r>
            <w:r>
              <w:rPr>
                <w:sz w:val="28"/>
                <w:szCs w:val="28"/>
              </w:rPr>
              <w:t>.</w:t>
            </w:r>
          </w:p>
          <w:p w:rsidR="009C304E" w:rsidRDefault="009D3D5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غرفة العمل والنقابة متاحان أيضًا بالعديد من الخدمات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C304E" w:rsidRDefault="009D3D59">
      <w:r>
        <w:t> </w:t>
      </w:r>
    </w:p>
    <w:p w:rsidR="00DE2A4A" w:rsidRDefault="00DE2A4A" w:rsidP="00DE2A4A"/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DE2A4A" w:rsidTr="00536176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2A4A" w:rsidRPr="00A14023" w:rsidRDefault="000C2F33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C60181E" wp14:editId="724C18F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Default="00DE2A4A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DE2A4A" w:rsidRPr="00A14023" w:rsidRDefault="00536176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536176">
              <w:rPr>
                <w:rFonts w:asciiTheme="minorBidi" w:hAnsiTheme="minorBidi"/>
                <w:sz w:val="22"/>
                <w:szCs w:val="22"/>
                <w:rtl/>
              </w:rPr>
              <w:t>هذه الصفحة</w:t>
            </w:r>
          </w:p>
        </w:tc>
        <w:tc>
          <w:tcPr>
            <w:tcW w:w="2693" w:type="dxa"/>
            <w:noWrap/>
            <w:vAlign w:val="center"/>
          </w:tcPr>
          <w:p w:rsidR="00DE2A4A" w:rsidRPr="00A14023" w:rsidRDefault="00B349FE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42AABE2" wp14:editId="0176FC89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Pr="00A14023" w:rsidRDefault="00DE2A4A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536176" w:rsidRPr="00536176">
              <w:rPr>
                <w:rFonts w:asciiTheme="minorBidi" w:hAnsiTheme="minorBidi"/>
                <w:sz w:val="22"/>
                <w:szCs w:val="22"/>
                <w:rtl/>
              </w:rPr>
              <w:t>استمع للنص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E2A4A" w:rsidRPr="00A14023" w:rsidRDefault="00536176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262F139" wp14:editId="58CD113D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Pr="00A14023" w:rsidRDefault="00DE2A4A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Kapitelseite: </w:t>
            </w:r>
            <w:r>
              <w:rPr>
                <w:rFonts w:asciiTheme="minorBidi" w:hAnsiTheme="minorBidi" w:cstheme="minorBidi"/>
              </w:rPr>
              <w:t>Technik, Beruf</w:t>
            </w:r>
          </w:p>
          <w:p w:rsidR="00DE2A4A" w:rsidRPr="00A14023" w:rsidRDefault="00536176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536176">
              <w:rPr>
                <w:rFonts w:asciiTheme="minorBidi" w:hAnsiTheme="minorBidi"/>
                <w:sz w:val="22"/>
                <w:szCs w:val="22"/>
                <w:rtl/>
              </w:rPr>
              <w:t>صفحة الفصل: التكنولوجيا ، الوظيفة</w:t>
            </w:r>
          </w:p>
        </w:tc>
      </w:tr>
    </w:tbl>
    <w:p w:rsidR="00DE2A4A" w:rsidRDefault="00DE2A4A" w:rsidP="00DE2A4A">
      <w:r>
        <w:t> </w:t>
      </w:r>
    </w:p>
    <w:p w:rsidR="009C304E" w:rsidRDefault="009D3D59">
      <w:r>
        <w:t> </w:t>
      </w:r>
    </w:p>
    <w:p w:rsidR="009C304E" w:rsidRDefault="009D3D59">
      <w:r>
        <w:t> </w:t>
      </w:r>
      <w:bookmarkStart w:id="1" w:name="_GoBack"/>
      <w:bookmarkEnd w:id="1"/>
    </w:p>
    <w:p w:rsidR="009C304E" w:rsidRDefault="009D3D59">
      <w:pPr>
        <w:pageBreakBefore/>
      </w:pPr>
      <w:r>
        <w:rPr>
          <w:b/>
          <w:bCs/>
        </w:rPr>
        <w:lastRenderedPageBreak/>
        <w:t>(BPV01</w:t>
      </w:r>
      <w:proofErr w:type="gramStart"/>
      <w:r>
        <w:rPr>
          <w:b/>
          <w:bCs/>
        </w:rPr>
        <w:t xml:space="preserve">)   </w:t>
      </w:r>
      <w:proofErr w:type="gramEnd"/>
      <w:r>
        <w:rPr>
          <w:b/>
          <w:bCs/>
        </w:rPr>
        <w:t xml:space="preserve">[AR]  </w:t>
      </w:r>
    </w:p>
    <w:p w:rsidR="009C304E" w:rsidRDefault="009D3D59">
      <w:r>
        <w:t> </w:t>
      </w:r>
    </w:p>
    <w:tbl>
      <w:tblPr>
        <w:tblW w:w="8789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DE2A4A" w:rsidTr="00536176">
        <w:trPr>
          <w:cantSplit/>
        </w:trPr>
        <w:tc>
          <w:tcPr>
            <w:tcW w:w="4962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DE2A4A" w:rsidRDefault="00DE2A4A" w:rsidP="0080445D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Pensionsversicherung </w:t>
            </w:r>
          </w:p>
        </w:tc>
        <w:tc>
          <w:tcPr>
            <w:tcW w:w="382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E2A4A" w:rsidRDefault="00DE2A4A" w:rsidP="0080445D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المهنة: تأمين التقاعد</w:t>
            </w:r>
          </w:p>
        </w:tc>
      </w:tr>
    </w:tbl>
    <w:p w:rsidR="00DE2A4A" w:rsidRDefault="00DE2A4A" w:rsidP="00DE2A4A"/>
    <w:tbl>
      <w:tblPr>
        <w:tblW w:w="8789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soziale Absicherung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Altersabsicherung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الضمان الاجتماعي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تأمين الشيخوخة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Altersgrenze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Pension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Pensionsantritt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Frühpension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الحد العمري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مَعاش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التقاعد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التقاعد المبكر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Generationenvertrag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عقد التوليد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Beitragsmonat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das Minimum an Beitragsmonaten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Einkommenshöhe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شهر الاشتراك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الحد الأدنى لأشهر الاشتراك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مستوى الدخل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Ersatzzeit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Nachkauf von Beitragsmonaten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 xml:space="preserve">die Anrechnung von Beitragsmonaten 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freiwillige Höherversicherung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وقت الفراغ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الشراء اللاحق لأشهر المساهمة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قيد اشهر الاشتراك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التأمين الطوعي العالي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das Minimum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das Maximum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الحد الأدنى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الحد الأقصى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das Ansparen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Kapitalbildung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المدخرات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تكوين رأس المال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private Vertrag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Prämie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العقد الخاص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قسط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Überprüfung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neutrale Beratung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التحقق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النصيحة المحايدة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Verlust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Schade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der Betrug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خسارة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الشفقة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احتيال</w:t>
            </w:r>
          </w:p>
        </w:tc>
      </w:tr>
      <w:tr w:rsidR="009C304E" w:rsidTr="0053617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Entwicklung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die Laufzeit</w:t>
            </w:r>
          </w:p>
          <w:p w:rsidR="009C304E" w:rsidRPr="00782D0C" w:rsidRDefault="009D3D59">
            <w:pPr>
              <w:ind w:left="29"/>
              <w:rPr>
                <w:sz w:val="22"/>
                <w:szCs w:val="22"/>
              </w:rPr>
            </w:pPr>
            <w:r w:rsidRPr="00782D0C">
              <w:rPr>
                <w:sz w:val="22"/>
                <w:szCs w:val="22"/>
              </w:rPr>
              <w:t>überblicken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التطور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الفترة</w:t>
            </w:r>
          </w:p>
          <w:p w:rsidR="009C304E" w:rsidRPr="00782D0C" w:rsidRDefault="009D3D59">
            <w:pPr>
              <w:ind w:right="170"/>
              <w:jc w:val="right"/>
              <w:rPr>
                <w:sz w:val="24"/>
                <w:szCs w:val="24"/>
              </w:rPr>
            </w:pPr>
            <w:r w:rsidRPr="00782D0C">
              <w:rPr>
                <w:rFonts w:hint="cs"/>
                <w:sz w:val="24"/>
                <w:szCs w:val="24"/>
                <w:rtl/>
              </w:rPr>
              <w:t>تطل</w:t>
            </w:r>
          </w:p>
        </w:tc>
      </w:tr>
    </w:tbl>
    <w:p w:rsidR="00DE2A4A" w:rsidRDefault="00DE2A4A" w:rsidP="00DE2A4A"/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DE2A4A" w:rsidTr="00536176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2A4A" w:rsidRPr="00A14023" w:rsidRDefault="005A3517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F9FC5D4" wp14:editId="707876C9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Default="00DE2A4A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DE2A4A" w:rsidRPr="00A14023" w:rsidRDefault="00536176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536176">
              <w:rPr>
                <w:rFonts w:asciiTheme="minorBidi" w:hAnsiTheme="minorBidi"/>
                <w:rtl/>
              </w:rPr>
              <w:t>هذه الصفحة</w:t>
            </w:r>
          </w:p>
        </w:tc>
        <w:tc>
          <w:tcPr>
            <w:tcW w:w="2693" w:type="dxa"/>
            <w:noWrap/>
            <w:vAlign w:val="center"/>
          </w:tcPr>
          <w:p w:rsidR="00DE2A4A" w:rsidRPr="00A14023" w:rsidRDefault="005C07C5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EB4AF95" wp14:editId="0A414B0C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Pr="00A14023" w:rsidRDefault="00DE2A4A" w:rsidP="0080445D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536176" w:rsidRPr="00536176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E2A4A" w:rsidRPr="00A14023" w:rsidRDefault="00536176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F05FF94" wp14:editId="2FEBC111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4A" w:rsidRPr="00A14023" w:rsidRDefault="00DE2A4A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Kapitelseite: </w:t>
            </w:r>
            <w:r>
              <w:rPr>
                <w:rFonts w:asciiTheme="minorBidi" w:hAnsiTheme="minorBidi" w:cstheme="minorBidi"/>
              </w:rPr>
              <w:t>Technik, Beruf</w:t>
            </w:r>
          </w:p>
          <w:p w:rsidR="00DE2A4A" w:rsidRPr="00A14023" w:rsidRDefault="00536176" w:rsidP="0080445D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536176">
              <w:rPr>
                <w:rFonts w:asciiTheme="minorBidi" w:hAnsiTheme="minorBidi"/>
                <w:sz w:val="22"/>
                <w:szCs w:val="22"/>
                <w:rtl/>
              </w:rPr>
              <w:t>صفحة الفصل: التكنولوجيا ، الوظيفة</w:t>
            </w:r>
          </w:p>
        </w:tc>
      </w:tr>
    </w:tbl>
    <w:p w:rsidR="00DE2A4A" w:rsidRDefault="00DE2A4A" w:rsidP="00DE2A4A">
      <w:r>
        <w:t> </w:t>
      </w:r>
    </w:p>
    <w:sectPr w:rsidR="00DE2A4A" w:rsidSect="00DE2A4A">
      <w:footerReference w:type="default" r:id="rId18"/>
      <w:pgSz w:w="11906" w:h="16838"/>
      <w:pgMar w:top="709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E4" w:rsidRDefault="001C2DE4" w:rsidP="00DE2A4A">
      <w:r>
        <w:separator/>
      </w:r>
    </w:p>
  </w:endnote>
  <w:endnote w:type="continuationSeparator" w:id="0">
    <w:p w:rsidR="001C2DE4" w:rsidRDefault="001C2DE4" w:rsidP="00D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A" w:rsidRPr="00350F2B" w:rsidRDefault="001C2DE4" w:rsidP="00DE2A4A">
    <w:pPr>
      <w:pStyle w:val="Fuzeile"/>
      <w:tabs>
        <w:tab w:val="right" w:pos="10062"/>
      </w:tabs>
      <w:rPr>
        <w:color w:val="0D0D0D" w:themeColor="text1" w:themeTint="F2"/>
      </w:rPr>
    </w:pPr>
    <w:hyperlink r:id="rId1" w:tgtFrame="_blank" w:history="1">
      <w:r w:rsidR="00DE2A4A">
        <w:rPr>
          <w:rStyle w:val="Hyperlink"/>
          <w:color w:val="0D0D0D" w:themeColor="text1" w:themeTint="F2"/>
        </w:rPr>
        <w:t>https://kleine-deutsch-hilfe.at/Start-AR.htm</w:t>
      </w:r>
    </w:hyperlink>
    <w:r w:rsidR="00DE2A4A" w:rsidRPr="00350F2B">
      <w:rPr>
        <w:color w:val="0D0D0D" w:themeColor="text1" w:themeTint="F2"/>
      </w:rPr>
      <w:tab/>
    </w:r>
    <w:hyperlink r:id="rId2" w:tgtFrame="_blank" w:history="1">
      <w:r w:rsidR="00DE2A4A">
        <w:rPr>
          <w:rStyle w:val="Hyperlink"/>
          <w:color w:val="0D0D0D" w:themeColor="text1" w:themeTint="F2"/>
        </w:rPr>
        <w:t>https://kleine-deutsch-hilfe.at/_Kapitel_Technik_Beruf_AR.htm</w:t>
      </w:r>
    </w:hyperlink>
    <w:r w:rsidR="00DE2A4A" w:rsidRPr="00350F2B">
      <w:rPr>
        <w:color w:val="0D0D0D" w:themeColor="text1" w:themeTint="F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E4" w:rsidRDefault="001C2DE4" w:rsidP="00DE2A4A">
      <w:r>
        <w:separator/>
      </w:r>
    </w:p>
  </w:footnote>
  <w:footnote w:type="continuationSeparator" w:id="0">
    <w:p w:rsidR="001C2DE4" w:rsidRDefault="001C2DE4" w:rsidP="00DE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DF65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266F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2C2AC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6"/>
    <w:rsid w:val="000C2F33"/>
    <w:rsid w:val="001026B4"/>
    <w:rsid w:val="001C2DE4"/>
    <w:rsid w:val="00433BE6"/>
    <w:rsid w:val="00536176"/>
    <w:rsid w:val="005A3517"/>
    <w:rsid w:val="005C07C5"/>
    <w:rsid w:val="006C6C73"/>
    <w:rsid w:val="00782D0C"/>
    <w:rsid w:val="008616C4"/>
    <w:rsid w:val="009C304E"/>
    <w:rsid w:val="009D3D59"/>
    <w:rsid w:val="00AC7F58"/>
    <w:rsid w:val="00B349FE"/>
    <w:rsid w:val="00D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28D1-8A27-47B5-ADD9-35C86ED4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A4A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Beruf_SV_Pension_AR.ht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zialministerium.at/Themen/Soziales/Sozialversicherung/Krankenversicherung.html" TargetMode="External"/><Relationship Id="rId12" Type="http://schemas.openxmlformats.org/officeDocument/2006/relationships/hyperlink" Target="https://kleine-deutsch-hilfe.at/_Kapitel_Technik_Beruf_AR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oerter_BPV01.mp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Beruf_SV_Pension_BPV00.mp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Beruf_SV_Pension_AR.htm#BPV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echnik_Beruf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Pensionsversicherung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Pensionsversicherung</dc:title>
  <dc:subject/>
  <dc:creator>PCHW</dc:creator>
  <cp:keywords/>
  <dc:description/>
  <cp:lastModifiedBy>            </cp:lastModifiedBy>
  <cp:revision>9</cp:revision>
  <cp:lastPrinted>2023-08-01T15:54:00Z</cp:lastPrinted>
  <dcterms:created xsi:type="dcterms:W3CDTF">2023-08-01T12:45:00Z</dcterms:created>
  <dcterms:modified xsi:type="dcterms:W3CDTF">2023-08-01T16:03:00Z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